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E270C0" w14:textId="7EB223D3" w:rsidR="006D0CC2" w:rsidRPr="00A30073" w:rsidRDefault="006D0CC2" w:rsidP="006D0CC2">
      <w:pPr>
        <w:pStyle w:val="Heading1"/>
        <w:rPr>
          <w:rFonts w:eastAsiaTheme="minorHAnsi" w:cs="Arial"/>
          <w:lang w:val="en-GB"/>
        </w:rPr>
      </w:pPr>
      <w:r w:rsidRPr="00A30073">
        <w:rPr>
          <w:rFonts w:eastAsiaTheme="minorHAnsi" w:cs="Arial"/>
          <w:lang w:val="en-GB"/>
        </w:rPr>
        <w:t>Supplementary Material</w:t>
      </w:r>
      <w:r w:rsidR="00601296" w:rsidRPr="00A30073">
        <w:rPr>
          <w:rFonts w:eastAsiaTheme="minorHAnsi" w:cs="Arial"/>
          <w:lang w:val="en-GB"/>
        </w:rPr>
        <w:t>s</w:t>
      </w:r>
    </w:p>
    <w:p w14:paraId="787A8F5F" w14:textId="4FDA8C4B" w:rsidR="00FF432A" w:rsidRPr="00A30073" w:rsidRDefault="007E35D8" w:rsidP="006D0CC2">
      <w:pPr>
        <w:pStyle w:val="Heading2"/>
        <w:numPr>
          <w:ilvl w:val="0"/>
          <w:numId w:val="1"/>
        </w:numPr>
        <w:rPr>
          <w:color w:val="auto"/>
        </w:rPr>
      </w:pPr>
      <w:r w:rsidRPr="00A30073">
        <w:rPr>
          <w:color w:val="auto"/>
        </w:rPr>
        <w:t>Baseline characteristics</w:t>
      </w:r>
    </w:p>
    <w:p w14:paraId="7CC81126" w14:textId="638BB32E" w:rsidR="006D0CC2" w:rsidRPr="00A30073" w:rsidRDefault="006D0CC2">
      <w:pPr>
        <w:rPr>
          <w:b/>
          <w:bCs/>
          <w:lang w:val="en-US"/>
        </w:rPr>
      </w:pPr>
      <w:r w:rsidRPr="00A30073">
        <w:rPr>
          <w:b/>
          <w:bCs/>
          <w:lang w:val="en-US"/>
        </w:rPr>
        <w:t>Table S1: Baseline characteristics of the patients in the trial</w:t>
      </w:r>
    </w:p>
    <w:tbl>
      <w:tblPr>
        <w:tblW w:w="8986" w:type="dxa"/>
        <w:tblLook w:val="04A0" w:firstRow="1" w:lastRow="0" w:firstColumn="1" w:lastColumn="0" w:noHBand="0" w:noVBand="1"/>
      </w:tblPr>
      <w:tblGrid>
        <w:gridCol w:w="4517"/>
        <w:gridCol w:w="807"/>
        <w:gridCol w:w="3662"/>
      </w:tblGrid>
      <w:tr w:rsidR="007B74D1" w:rsidRPr="00A30073" w14:paraId="65C07F30" w14:textId="77777777" w:rsidTr="00AE5D70">
        <w:trPr>
          <w:trHeight w:val="423"/>
        </w:trPr>
        <w:tc>
          <w:tcPr>
            <w:tcW w:w="5324" w:type="dxa"/>
            <w:gridSpan w:val="2"/>
            <w:tcBorders>
              <w:top w:val="single" w:sz="12" w:space="0" w:color="auto"/>
              <w:left w:val="nil"/>
              <w:bottom w:val="single" w:sz="12" w:space="0" w:color="auto"/>
              <w:right w:val="nil"/>
            </w:tcBorders>
            <w:shd w:val="clear" w:color="000000" w:fill="FFFFFF"/>
            <w:noWrap/>
            <w:vAlign w:val="center"/>
            <w:hideMark/>
          </w:tcPr>
          <w:p w14:paraId="10DB2035" w14:textId="77777777" w:rsidR="007B74D1" w:rsidRPr="00A30073" w:rsidRDefault="007B74D1" w:rsidP="00AE5D70">
            <w:pPr>
              <w:spacing w:after="0" w:line="240" w:lineRule="auto"/>
              <w:rPr>
                <w:rFonts w:eastAsia="Times New Roman" w:cs="Arial"/>
                <w:b/>
                <w:bCs/>
                <w:lang w:eastAsia="en-GB"/>
              </w:rPr>
            </w:pPr>
            <w:r w:rsidRPr="00A30073">
              <w:rPr>
                <w:rFonts w:eastAsia="Times New Roman" w:cs="Arial"/>
                <w:b/>
                <w:bCs/>
                <w:lang w:eastAsia="en-GB"/>
              </w:rPr>
              <w:t>Variable</w:t>
            </w:r>
          </w:p>
        </w:tc>
        <w:tc>
          <w:tcPr>
            <w:tcW w:w="3662" w:type="dxa"/>
            <w:tcBorders>
              <w:top w:val="single" w:sz="12" w:space="0" w:color="auto"/>
              <w:left w:val="nil"/>
              <w:bottom w:val="single" w:sz="12" w:space="0" w:color="auto"/>
              <w:right w:val="nil"/>
            </w:tcBorders>
            <w:shd w:val="clear" w:color="000000" w:fill="FFFFFF"/>
            <w:noWrap/>
            <w:vAlign w:val="center"/>
            <w:hideMark/>
          </w:tcPr>
          <w:p w14:paraId="416F4BEC" w14:textId="77777777" w:rsidR="007B74D1" w:rsidRPr="00A30073" w:rsidRDefault="007B74D1" w:rsidP="00AE5D70">
            <w:pPr>
              <w:spacing w:after="0" w:line="240" w:lineRule="auto"/>
              <w:jc w:val="center"/>
              <w:rPr>
                <w:rFonts w:eastAsia="Times New Roman" w:cs="Arial"/>
                <w:b/>
                <w:bCs/>
                <w:lang w:eastAsia="en-GB"/>
              </w:rPr>
            </w:pPr>
            <w:r w:rsidRPr="00A30073">
              <w:rPr>
                <w:rFonts w:eastAsia="Times New Roman" w:cs="Arial"/>
                <w:b/>
                <w:bCs/>
                <w:lang w:eastAsia="en-GB"/>
              </w:rPr>
              <w:t xml:space="preserve">Mean </w:t>
            </w:r>
            <w:r w:rsidRPr="00A30073">
              <w:rPr>
                <w:rFonts w:cs="Arial"/>
                <w:b/>
                <w:bCs/>
              </w:rPr>
              <w:t>± SE</w:t>
            </w:r>
          </w:p>
        </w:tc>
      </w:tr>
      <w:tr w:rsidR="007B74D1" w:rsidRPr="00A30073" w14:paraId="31CABEB8" w14:textId="77777777" w:rsidTr="00AE5D70">
        <w:trPr>
          <w:gridAfter w:val="2"/>
          <w:wAfter w:w="4469" w:type="dxa"/>
          <w:trHeight w:val="423"/>
        </w:trPr>
        <w:tc>
          <w:tcPr>
            <w:tcW w:w="4517" w:type="dxa"/>
            <w:tcBorders>
              <w:top w:val="nil"/>
              <w:left w:val="nil"/>
              <w:bottom w:val="nil"/>
              <w:right w:val="nil"/>
            </w:tcBorders>
            <w:shd w:val="clear" w:color="000000" w:fill="FFFFFF"/>
            <w:noWrap/>
            <w:vAlign w:val="center"/>
            <w:hideMark/>
          </w:tcPr>
          <w:p w14:paraId="24DC4834" w14:textId="77777777" w:rsidR="007B74D1" w:rsidRPr="00A30073" w:rsidRDefault="007B74D1" w:rsidP="00AE5D70">
            <w:pPr>
              <w:spacing w:after="0" w:line="240" w:lineRule="auto"/>
              <w:rPr>
                <w:rFonts w:eastAsia="Times New Roman" w:cs="Arial"/>
                <w:b/>
                <w:bCs/>
                <w:lang w:eastAsia="en-GB"/>
              </w:rPr>
            </w:pPr>
            <w:r w:rsidRPr="00A30073">
              <w:rPr>
                <w:rFonts w:eastAsia="Times New Roman" w:cs="Arial"/>
                <w:b/>
                <w:bCs/>
                <w:lang w:eastAsia="en-GB"/>
              </w:rPr>
              <w:t>Patient Demographics</w:t>
            </w:r>
          </w:p>
        </w:tc>
      </w:tr>
      <w:tr w:rsidR="007B74D1" w:rsidRPr="00A30073" w14:paraId="5877BD56" w14:textId="77777777" w:rsidTr="00AE5D70">
        <w:trPr>
          <w:trHeight w:val="424"/>
        </w:trPr>
        <w:tc>
          <w:tcPr>
            <w:tcW w:w="5324" w:type="dxa"/>
            <w:gridSpan w:val="2"/>
            <w:tcBorders>
              <w:top w:val="nil"/>
              <w:left w:val="nil"/>
              <w:bottom w:val="nil"/>
              <w:right w:val="nil"/>
            </w:tcBorders>
            <w:shd w:val="clear" w:color="000000" w:fill="FFFFFF"/>
            <w:noWrap/>
            <w:vAlign w:val="center"/>
            <w:hideMark/>
          </w:tcPr>
          <w:p w14:paraId="4A036BCA" w14:textId="77777777" w:rsidR="007B74D1" w:rsidRPr="00A30073" w:rsidRDefault="007B74D1" w:rsidP="00AE5D70">
            <w:pPr>
              <w:rPr>
                <w:rFonts w:cs="Arial"/>
              </w:rPr>
            </w:pPr>
            <w:r w:rsidRPr="00A30073">
              <w:rPr>
                <w:rFonts w:cs="Arial"/>
              </w:rPr>
              <w:t>Start age  (years)</w:t>
            </w:r>
          </w:p>
        </w:tc>
        <w:tc>
          <w:tcPr>
            <w:tcW w:w="3662" w:type="dxa"/>
            <w:tcBorders>
              <w:top w:val="nil"/>
              <w:left w:val="nil"/>
              <w:bottom w:val="nil"/>
              <w:right w:val="nil"/>
            </w:tcBorders>
            <w:shd w:val="clear" w:color="000000" w:fill="FFFFFF"/>
            <w:noWrap/>
            <w:vAlign w:val="center"/>
            <w:hideMark/>
          </w:tcPr>
          <w:p w14:paraId="004B0126" w14:textId="77777777" w:rsidR="007B74D1" w:rsidRPr="00A30073" w:rsidRDefault="007B74D1" w:rsidP="00AE5D70">
            <w:pPr>
              <w:jc w:val="center"/>
              <w:rPr>
                <w:rFonts w:cs="Arial"/>
              </w:rPr>
            </w:pPr>
            <w:r w:rsidRPr="00A30073">
              <w:rPr>
                <w:rFonts w:cs="Arial"/>
              </w:rPr>
              <w:t>55.9 ± 10.4</w:t>
            </w:r>
          </w:p>
        </w:tc>
      </w:tr>
      <w:tr w:rsidR="007B74D1" w:rsidRPr="00A30073" w14:paraId="4A1F80CB"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04A75E5E" w14:textId="77777777" w:rsidR="007B74D1" w:rsidRPr="00A30073" w:rsidRDefault="007B74D1" w:rsidP="00AE5D70">
            <w:pPr>
              <w:rPr>
                <w:rFonts w:cs="Arial"/>
              </w:rPr>
            </w:pPr>
            <w:r w:rsidRPr="00A30073">
              <w:rPr>
                <w:rFonts w:cs="Arial"/>
              </w:rPr>
              <w:t>Duration of Diabetes  (years)</w:t>
            </w:r>
          </w:p>
        </w:tc>
        <w:tc>
          <w:tcPr>
            <w:tcW w:w="3662" w:type="dxa"/>
            <w:tcBorders>
              <w:top w:val="nil"/>
              <w:left w:val="nil"/>
              <w:bottom w:val="nil"/>
              <w:right w:val="nil"/>
            </w:tcBorders>
            <w:shd w:val="clear" w:color="000000" w:fill="FFFFFF"/>
            <w:noWrap/>
            <w:vAlign w:val="center"/>
            <w:hideMark/>
          </w:tcPr>
          <w:p w14:paraId="23DC0102" w14:textId="77777777" w:rsidR="007B74D1" w:rsidRPr="00A30073" w:rsidRDefault="007B74D1" w:rsidP="00AE5D70">
            <w:pPr>
              <w:jc w:val="center"/>
              <w:rPr>
                <w:rFonts w:cs="Arial"/>
              </w:rPr>
            </w:pPr>
            <w:r w:rsidRPr="00A30073">
              <w:rPr>
                <w:rFonts w:cs="Arial"/>
              </w:rPr>
              <w:t>6</w:t>
            </w:r>
          </w:p>
        </w:tc>
      </w:tr>
      <w:tr w:rsidR="007B74D1" w:rsidRPr="00A30073" w14:paraId="2A0F7DEE"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359CC822" w14:textId="77777777" w:rsidR="007B74D1" w:rsidRPr="00A30073" w:rsidRDefault="007B74D1" w:rsidP="00AE5D70">
            <w:pPr>
              <w:rPr>
                <w:rFonts w:cs="Arial"/>
              </w:rPr>
            </w:pPr>
            <w:r w:rsidRPr="00A30073">
              <w:rPr>
                <w:rFonts w:cs="Arial"/>
              </w:rPr>
              <w:t>Proportion Male  (0-1)</w:t>
            </w:r>
          </w:p>
        </w:tc>
        <w:tc>
          <w:tcPr>
            <w:tcW w:w="3662" w:type="dxa"/>
            <w:tcBorders>
              <w:top w:val="nil"/>
              <w:left w:val="nil"/>
              <w:bottom w:val="nil"/>
              <w:right w:val="nil"/>
            </w:tcBorders>
            <w:shd w:val="clear" w:color="000000" w:fill="FFFFFF"/>
            <w:noWrap/>
            <w:vAlign w:val="center"/>
            <w:hideMark/>
          </w:tcPr>
          <w:p w14:paraId="5AB698C4" w14:textId="77777777" w:rsidR="007B74D1" w:rsidRPr="00A30073" w:rsidRDefault="007B74D1" w:rsidP="00AE5D70">
            <w:pPr>
              <w:jc w:val="center"/>
              <w:rPr>
                <w:rFonts w:cs="Arial"/>
              </w:rPr>
            </w:pPr>
            <w:r w:rsidRPr="00A30073">
              <w:rPr>
                <w:rFonts w:cs="Arial"/>
              </w:rPr>
              <w:t>0.55</w:t>
            </w:r>
          </w:p>
        </w:tc>
      </w:tr>
      <w:tr w:rsidR="007B74D1" w:rsidRPr="00A30073" w14:paraId="2021EBB1" w14:textId="77777777" w:rsidTr="00AE5D70">
        <w:trPr>
          <w:trHeight w:val="424"/>
        </w:trPr>
        <w:tc>
          <w:tcPr>
            <w:tcW w:w="5324" w:type="dxa"/>
            <w:gridSpan w:val="2"/>
            <w:tcBorders>
              <w:top w:val="nil"/>
              <w:left w:val="nil"/>
              <w:bottom w:val="nil"/>
              <w:right w:val="nil"/>
            </w:tcBorders>
            <w:shd w:val="clear" w:color="000000" w:fill="FFFFFF"/>
            <w:noWrap/>
            <w:vAlign w:val="center"/>
            <w:hideMark/>
          </w:tcPr>
          <w:p w14:paraId="2F5EEE6D" w14:textId="77777777" w:rsidR="007B74D1" w:rsidRPr="00A30073" w:rsidRDefault="007B74D1" w:rsidP="00AE5D70">
            <w:pPr>
              <w:spacing w:after="0" w:line="240" w:lineRule="auto"/>
              <w:rPr>
                <w:rFonts w:eastAsia="Times New Roman" w:cs="Arial"/>
                <w:b/>
                <w:bCs/>
                <w:lang w:eastAsia="en-GB"/>
              </w:rPr>
            </w:pPr>
            <w:r w:rsidRPr="00A30073">
              <w:rPr>
                <w:rFonts w:eastAsia="Times New Roman" w:cs="Arial"/>
                <w:b/>
                <w:bCs/>
                <w:lang w:val="en-US" w:eastAsia="en-GB"/>
              </w:rPr>
              <w:t>Baseline Risk Factors</w:t>
            </w:r>
          </w:p>
        </w:tc>
        <w:tc>
          <w:tcPr>
            <w:tcW w:w="3662" w:type="dxa"/>
            <w:tcBorders>
              <w:top w:val="nil"/>
              <w:left w:val="nil"/>
              <w:bottom w:val="nil"/>
              <w:right w:val="nil"/>
            </w:tcBorders>
            <w:shd w:val="clear" w:color="000000" w:fill="FFFFFF"/>
            <w:noWrap/>
            <w:vAlign w:val="center"/>
            <w:hideMark/>
          </w:tcPr>
          <w:p w14:paraId="67ED92B4" w14:textId="77777777" w:rsidR="007B74D1" w:rsidRPr="00A30073" w:rsidRDefault="007B74D1" w:rsidP="00AE5D70">
            <w:pPr>
              <w:spacing w:after="0" w:line="240" w:lineRule="auto"/>
              <w:jc w:val="center"/>
              <w:rPr>
                <w:rFonts w:eastAsia="Times New Roman" w:cs="Arial"/>
                <w:lang w:eastAsia="en-GB"/>
              </w:rPr>
            </w:pPr>
            <w:r w:rsidRPr="00A30073">
              <w:rPr>
                <w:rFonts w:eastAsia="Times New Roman" w:cs="Arial"/>
                <w:lang w:eastAsia="en-GB"/>
              </w:rPr>
              <w:t> </w:t>
            </w:r>
          </w:p>
        </w:tc>
      </w:tr>
      <w:tr w:rsidR="007B74D1" w:rsidRPr="00A30073" w14:paraId="03D61CE4"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505BB925" w14:textId="77777777" w:rsidR="007B74D1" w:rsidRPr="00A30073" w:rsidRDefault="007B74D1" w:rsidP="00AE5D70">
            <w:pPr>
              <w:rPr>
                <w:rFonts w:cs="Arial"/>
              </w:rPr>
            </w:pPr>
            <w:r w:rsidRPr="00A30073">
              <w:rPr>
                <w:rFonts w:cs="Arial"/>
              </w:rPr>
              <w:t>HbA1c  (%-points)</w:t>
            </w:r>
          </w:p>
        </w:tc>
        <w:tc>
          <w:tcPr>
            <w:tcW w:w="3662" w:type="dxa"/>
            <w:tcBorders>
              <w:top w:val="nil"/>
              <w:left w:val="nil"/>
              <w:bottom w:val="nil"/>
              <w:right w:val="nil"/>
            </w:tcBorders>
            <w:shd w:val="clear" w:color="000000" w:fill="FFFFFF"/>
            <w:noWrap/>
            <w:vAlign w:val="center"/>
            <w:hideMark/>
          </w:tcPr>
          <w:p w14:paraId="69DAA418" w14:textId="77777777" w:rsidR="007B74D1" w:rsidRPr="00A30073" w:rsidRDefault="007B74D1" w:rsidP="00AE5D70">
            <w:pPr>
              <w:jc w:val="center"/>
              <w:rPr>
                <w:rFonts w:cs="Arial"/>
              </w:rPr>
            </w:pPr>
            <w:r w:rsidRPr="00A30073">
              <w:rPr>
                <w:rFonts w:cs="Arial"/>
              </w:rPr>
              <w:t>7.92 ± 0.84</w:t>
            </w:r>
          </w:p>
        </w:tc>
      </w:tr>
      <w:tr w:rsidR="007B74D1" w:rsidRPr="00A30073" w14:paraId="112D70D2" w14:textId="77777777" w:rsidTr="00AE5D70">
        <w:trPr>
          <w:trHeight w:val="424"/>
        </w:trPr>
        <w:tc>
          <w:tcPr>
            <w:tcW w:w="5324" w:type="dxa"/>
            <w:gridSpan w:val="2"/>
            <w:tcBorders>
              <w:top w:val="nil"/>
              <w:left w:val="nil"/>
              <w:bottom w:val="nil"/>
              <w:right w:val="nil"/>
            </w:tcBorders>
            <w:shd w:val="clear" w:color="000000" w:fill="FFFFFF"/>
            <w:noWrap/>
            <w:vAlign w:val="center"/>
            <w:hideMark/>
          </w:tcPr>
          <w:p w14:paraId="481F0715" w14:textId="77777777" w:rsidR="007B74D1" w:rsidRPr="00A30073" w:rsidRDefault="007B74D1" w:rsidP="00AE5D70">
            <w:pPr>
              <w:rPr>
                <w:rFonts w:cs="Arial"/>
              </w:rPr>
            </w:pPr>
            <w:r w:rsidRPr="00A30073">
              <w:rPr>
                <w:rFonts w:cs="Arial"/>
              </w:rPr>
              <w:t>SBP  (mmHg)</w:t>
            </w:r>
          </w:p>
        </w:tc>
        <w:tc>
          <w:tcPr>
            <w:tcW w:w="3662" w:type="dxa"/>
            <w:tcBorders>
              <w:top w:val="nil"/>
              <w:left w:val="nil"/>
              <w:bottom w:val="nil"/>
              <w:right w:val="nil"/>
            </w:tcBorders>
            <w:shd w:val="clear" w:color="000000" w:fill="FFFFFF"/>
            <w:noWrap/>
            <w:vAlign w:val="center"/>
            <w:hideMark/>
          </w:tcPr>
          <w:p w14:paraId="695F8991" w14:textId="77777777" w:rsidR="007B74D1" w:rsidRPr="00A30073" w:rsidRDefault="007B74D1" w:rsidP="00AE5D70">
            <w:pPr>
              <w:jc w:val="center"/>
              <w:rPr>
                <w:rFonts w:cs="Arial"/>
              </w:rPr>
            </w:pPr>
            <w:r w:rsidRPr="00A30073">
              <w:rPr>
                <w:rFonts w:cs="Arial"/>
              </w:rPr>
              <w:t>133.5 ± 15.9</w:t>
            </w:r>
          </w:p>
        </w:tc>
      </w:tr>
      <w:tr w:rsidR="007B74D1" w:rsidRPr="00A30073" w14:paraId="13808A3E"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174DE668" w14:textId="77777777" w:rsidR="007B74D1" w:rsidRPr="00A30073" w:rsidRDefault="007B74D1" w:rsidP="00AE5D70">
            <w:pPr>
              <w:rPr>
                <w:rFonts w:cs="Arial"/>
              </w:rPr>
            </w:pPr>
            <w:r w:rsidRPr="00A30073">
              <w:rPr>
                <w:rFonts w:cs="Arial"/>
              </w:rPr>
              <w:t>DBP (mmHg)</w:t>
            </w:r>
          </w:p>
        </w:tc>
        <w:tc>
          <w:tcPr>
            <w:tcW w:w="3662" w:type="dxa"/>
            <w:tcBorders>
              <w:top w:val="nil"/>
              <w:left w:val="nil"/>
              <w:bottom w:val="nil"/>
              <w:right w:val="nil"/>
            </w:tcBorders>
            <w:shd w:val="clear" w:color="000000" w:fill="FFFFFF"/>
            <w:noWrap/>
            <w:vAlign w:val="center"/>
            <w:hideMark/>
          </w:tcPr>
          <w:p w14:paraId="228CED83" w14:textId="77777777" w:rsidR="007B74D1" w:rsidRPr="00A30073" w:rsidRDefault="007B74D1" w:rsidP="00AE5D70">
            <w:pPr>
              <w:jc w:val="center"/>
              <w:rPr>
                <w:rFonts w:cs="Arial"/>
              </w:rPr>
            </w:pPr>
            <w:r w:rsidRPr="00A30073">
              <w:rPr>
                <w:rFonts w:cs="Arial"/>
              </w:rPr>
              <w:t>79.5 ± 9.4</w:t>
            </w:r>
          </w:p>
        </w:tc>
      </w:tr>
      <w:tr w:rsidR="007B74D1" w:rsidRPr="00A30073" w14:paraId="69C5762C"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45442339" w14:textId="77777777" w:rsidR="007B74D1" w:rsidRPr="00A30073" w:rsidRDefault="007B74D1" w:rsidP="00AE5D70">
            <w:pPr>
              <w:rPr>
                <w:rFonts w:cs="Arial"/>
              </w:rPr>
            </w:pPr>
            <w:r w:rsidRPr="00A30073">
              <w:rPr>
                <w:rFonts w:cs="Arial"/>
              </w:rPr>
              <w:t>T-CHOL  (mg/dl)</w:t>
            </w:r>
          </w:p>
        </w:tc>
        <w:tc>
          <w:tcPr>
            <w:tcW w:w="3662" w:type="dxa"/>
            <w:tcBorders>
              <w:top w:val="nil"/>
              <w:left w:val="nil"/>
              <w:bottom w:val="nil"/>
              <w:right w:val="nil"/>
            </w:tcBorders>
            <w:shd w:val="clear" w:color="000000" w:fill="FFFFFF"/>
            <w:noWrap/>
            <w:vAlign w:val="center"/>
            <w:hideMark/>
          </w:tcPr>
          <w:p w14:paraId="62080C1C" w14:textId="77777777" w:rsidR="007B74D1" w:rsidRPr="00A30073" w:rsidRDefault="007B74D1" w:rsidP="00AE5D70">
            <w:pPr>
              <w:jc w:val="center"/>
              <w:rPr>
                <w:rFonts w:cs="Arial"/>
              </w:rPr>
            </w:pPr>
            <w:r w:rsidRPr="00A30073">
              <w:rPr>
                <w:rFonts w:cs="Arial"/>
              </w:rPr>
              <w:t>161.64 ± 55.68</w:t>
            </w:r>
          </w:p>
        </w:tc>
      </w:tr>
      <w:tr w:rsidR="007B74D1" w:rsidRPr="00A30073" w14:paraId="6E1AD1FB" w14:textId="77777777" w:rsidTr="00AE5D70">
        <w:trPr>
          <w:trHeight w:val="424"/>
        </w:trPr>
        <w:tc>
          <w:tcPr>
            <w:tcW w:w="5324" w:type="dxa"/>
            <w:gridSpan w:val="2"/>
            <w:tcBorders>
              <w:top w:val="nil"/>
              <w:left w:val="nil"/>
              <w:bottom w:val="nil"/>
              <w:right w:val="nil"/>
            </w:tcBorders>
            <w:shd w:val="clear" w:color="000000" w:fill="FFFFFF"/>
            <w:noWrap/>
            <w:vAlign w:val="center"/>
            <w:hideMark/>
          </w:tcPr>
          <w:p w14:paraId="57535451" w14:textId="77777777" w:rsidR="007B74D1" w:rsidRPr="00A30073" w:rsidRDefault="007B74D1" w:rsidP="00AE5D70">
            <w:pPr>
              <w:rPr>
                <w:rFonts w:cs="Arial"/>
              </w:rPr>
            </w:pPr>
            <w:r w:rsidRPr="00A30073">
              <w:rPr>
                <w:rFonts w:cs="Arial"/>
              </w:rPr>
              <w:t>HDL  (mg/dl)</w:t>
            </w:r>
          </w:p>
        </w:tc>
        <w:tc>
          <w:tcPr>
            <w:tcW w:w="3662" w:type="dxa"/>
            <w:tcBorders>
              <w:top w:val="nil"/>
              <w:left w:val="nil"/>
              <w:bottom w:val="nil"/>
              <w:right w:val="nil"/>
            </w:tcBorders>
            <w:shd w:val="clear" w:color="000000" w:fill="FFFFFF"/>
            <w:noWrap/>
            <w:vAlign w:val="center"/>
            <w:hideMark/>
          </w:tcPr>
          <w:p w14:paraId="32D69B91" w14:textId="77777777" w:rsidR="007B74D1" w:rsidRPr="00A30073" w:rsidRDefault="007B74D1" w:rsidP="00AE5D70">
            <w:pPr>
              <w:jc w:val="center"/>
              <w:rPr>
                <w:rFonts w:cs="Arial"/>
              </w:rPr>
            </w:pPr>
            <w:r w:rsidRPr="00A30073">
              <w:rPr>
                <w:rFonts w:cs="Arial"/>
              </w:rPr>
              <w:t>43.95 ± 6.01</w:t>
            </w:r>
          </w:p>
        </w:tc>
      </w:tr>
      <w:tr w:rsidR="007B74D1" w:rsidRPr="00A30073" w14:paraId="307D7DBB"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15F66EE4" w14:textId="77777777" w:rsidR="007B74D1" w:rsidRPr="00A30073" w:rsidRDefault="007B74D1" w:rsidP="00AE5D70">
            <w:pPr>
              <w:rPr>
                <w:rFonts w:cs="Arial"/>
              </w:rPr>
            </w:pPr>
            <w:r w:rsidRPr="00A30073">
              <w:rPr>
                <w:rFonts w:cs="Arial"/>
              </w:rPr>
              <w:t>LDL  (mg/dl)</w:t>
            </w:r>
          </w:p>
        </w:tc>
        <w:tc>
          <w:tcPr>
            <w:tcW w:w="3662" w:type="dxa"/>
            <w:tcBorders>
              <w:top w:val="nil"/>
              <w:left w:val="nil"/>
              <w:bottom w:val="nil"/>
              <w:right w:val="nil"/>
            </w:tcBorders>
            <w:shd w:val="clear" w:color="000000" w:fill="FFFFFF"/>
            <w:noWrap/>
            <w:vAlign w:val="center"/>
            <w:hideMark/>
          </w:tcPr>
          <w:p w14:paraId="2A08D91A" w14:textId="77777777" w:rsidR="007B74D1" w:rsidRPr="00A30073" w:rsidRDefault="007B74D1" w:rsidP="00AE5D70">
            <w:pPr>
              <w:jc w:val="center"/>
              <w:rPr>
                <w:rFonts w:cs="Arial"/>
              </w:rPr>
            </w:pPr>
            <w:r w:rsidRPr="00A30073">
              <w:rPr>
                <w:rFonts w:cs="Arial"/>
              </w:rPr>
              <w:t>71.79 ± 25.6</w:t>
            </w:r>
          </w:p>
        </w:tc>
      </w:tr>
      <w:tr w:rsidR="007B74D1" w:rsidRPr="00A30073" w14:paraId="27EADBFF"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594D4D1E" w14:textId="77777777" w:rsidR="007B74D1" w:rsidRPr="00A30073" w:rsidRDefault="007B74D1" w:rsidP="00AE5D70">
            <w:pPr>
              <w:rPr>
                <w:rFonts w:cs="Arial"/>
              </w:rPr>
            </w:pPr>
            <w:r w:rsidRPr="00A30073">
              <w:rPr>
                <w:rFonts w:cs="Arial"/>
              </w:rPr>
              <w:t>TRIG  (mg/dl)</w:t>
            </w:r>
          </w:p>
        </w:tc>
        <w:tc>
          <w:tcPr>
            <w:tcW w:w="3662" w:type="dxa"/>
            <w:tcBorders>
              <w:top w:val="nil"/>
              <w:left w:val="nil"/>
              <w:bottom w:val="nil"/>
              <w:right w:val="nil"/>
            </w:tcBorders>
            <w:shd w:val="clear" w:color="000000" w:fill="FFFFFF"/>
            <w:noWrap/>
            <w:vAlign w:val="center"/>
            <w:hideMark/>
          </w:tcPr>
          <w:p w14:paraId="05945E1B" w14:textId="77777777" w:rsidR="007B74D1" w:rsidRPr="00A30073" w:rsidRDefault="007B74D1" w:rsidP="00AE5D70">
            <w:pPr>
              <w:jc w:val="center"/>
              <w:rPr>
                <w:rFonts w:cs="Arial"/>
              </w:rPr>
            </w:pPr>
            <w:r w:rsidRPr="00A30073">
              <w:rPr>
                <w:rFonts w:cs="Arial"/>
              </w:rPr>
              <w:t>103.19 ± 74.32</w:t>
            </w:r>
          </w:p>
        </w:tc>
      </w:tr>
      <w:tr w:rsidR="007B74D1" w:rsidRPr="00A30073" w14:paraId="6F18E4F5" w14:textId="77777777" w:rsidTr="00AE5D70">
        <w:trPr>
          <w:trHeight w:val="424"/>
        </w:trPr>
        <w:tc>
          <w:tcPr>
            <w:tcW w:w="5324" w:type="dxa"/>
            <w:gridSpan w:val="2"/>
            <w:tcBorders>
              <w:top w:val="nil"/>
              <w:left w:val="nil"/>
              <w:bottom w:val="nil"/>
              <w:right w:val="nil"/>
            </w:tcBorders>
            <w:shd w:val="clear" w:color="000000" w:fill="FFFFFF"/>
            <w:noWrap/>
            <w:vAlign w:val="center"/>
            <w:hideMark/>
          </w:tcPr>
          <w:p w14:paraId="7806833A" w14:textId="77777777" w:rsidR="007B74D1" w:rsidRPr="00A30073" w:rsidRDefault="007B74D1" w:rsidP="00AE5D70">
            <w:pPr>
              <w:rPr>
                <w:rFonts w:cs="Arial"/>
              </w:rPr>
            </w:pPr>
            <w:r w:rsidRPr="00A30073">
              <w:rPr>
                <w:rFonts w:cs="Arial"/>
              </w:rPr>
              <w:t>BMI  (kg/m2)</w:t>
            </w:r>
          </w:p>
        </w:tc>
        <w:tc>
          <w:tcPr>
            <w:tcW w:w="3662" w:type="dxa"/>
            <w:tcBorders>
              <w:top w:val="nil"/>
              <w:left w:val="nil"/>
              <w:bottom w:val="nil"/>
              <w:right w:val="nil"/>
            </w:tcBorders>
            <w:shd w:val="clear" w:color="000000" w:fill="FFFFFF"/>
            <w:noWrap/>
            <w:vAlign w:val="center"/>
            <w:hideMark/>
          </w:tcPr>
          <w:p w14:paraId="2CE52DC0" w14:textId="77777777" w:rsidR="007B74D1" w:rsidRPr="00A30073" w:rsidRDefault="007B74D1" w:rsidP="00AE5D70">
            <w:pPr>
              <w:jc w:val="center"/>
              <w:rPr>
                <w:rFonts w:cs="Arial"/>
              </w:rPr>
            </w:pPr>
            <w:r w:rsidRPr="00A30073">
              <w:rPr>
                <w:rFonts w:cs="Arial"/>
              </w:rPr>
              <w:t>30.11 ± 5.29</w:t>
            </w:r>
          </w:p>
        </w:tc>
      </w:tr>
      <w:tr w:rsidR="007B74D1" w:rsidRPr="00A30073" w14:paraId="1C3AF96D"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29146C6A" w14:textId="77777777" w:rsidR="007B74D1" w:rsidRPr="00A30073" w:rsidRDefault="007B74D1" w:rsidP="00AE5D70">
            <w:pPr>
              <w:rPr>
                <w:rFonts w:cs="Arial"/>
              </w:rPr>
            </w:pPr>
            <w:r w:rsidRPr="00A30073">
              <w:rPr>
                <w:rFonts w:cs="Arial"/>
              </w:rPr>
              <w:t>Haemoglobin (gr/dl)</w:t>
            </w:r>
          </w:p>
        </w:tc>
        <w:tc>
          <w:tcPr>
            <w:tcW w:w="3662" w:type="dxa"/>
            <w:tcBorders>
              <w:top w:val="nil"/>
              <w:left w:val="nil"/>
              <w:bottom w:val="nil"/>
              <w:right w:val="nil"/>
            </w:tcBorders>
            <w:shd w:val="clear" w:color="000000" w:fill="FFFFFF"/>
            <w:noWrap/>
            <w:vAlign w:val="center"/>
            <w:hideMark/>
          </w:tcPr>
          <w:p w14:paraId="0F8FD715" w14:textId="77777777" w:rsidR="007B74D1" w:rsidRPr="00A30073" w:rsidRDefault="007B74D1" w:rsidP="00AE5D70">
            <w:pPr>
              <w:jc w:val="center"/>
              <w:rPr>
                <w:rFonts w:cs="Arial"/>
              </w:rPr>
            </w:pPr>
            <w:r w:rsidRPr="00A30073">
              <w:rPr>
                <w:rFonts w:cs="Arial"/>
              </w:rPr>
              <w:t>13.85 ± 1.35</w:t>
            </w:r>
          </w:p>
        </w:tc>
      </w:tr>
      <w:tr w:rsidR="007B74D1" w:rsidRPr="00A30073" w14:paraId="52745686"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1D7F984D" w14:textId="77777777" w:rsidR="007B74D1" w:rsidRPr="00A30073" w:rsidRDefault="007B74D1" w:rsidP="00AE5D70">
            <w:pPr>
              <w:rPr>
                <w:rFonts w:cs="Arial"/>
              </w:rPr>
            </w:pPr>
            <w:r w:rsidRPr="00A30073">
              <w:rPr>
                <w:rFonts w:cs="Arial"/>
              </w:rPr>
              <w:t>WBC (106/ml)</w:t>
            </w:r>
          </w:p>
        </w:tc>
        <w:tc>
          <w:tcPr>
            <w:tcW w:w="3662" w:type="dxa"/>
            <w:tcBorders>
              <w:top w:val="nil"/>
              <w:left w:val="nil"/>
              <w:bottom w:val="nil"/>
              <w:right w:val="nil"/>
            </w:tcBorders>
            <w:shd w:val="clear" w:color="000000" w:fill="FFFFFF"/>
            <w:noWrap/>
            <w:vAlign w:val="center"/>
            <w:hideMark/>
          </w:tcPr>
          <w:p w14:paraId="4302834F" w14:textId="77777777" w:rsidR="007B74D1" w:rsidRPr="00A30073" w:rsidRDefault="007B74D1" w:rsidP="00AE5D70">
            <w:pPr>
              <w:jc w:val="center"/>
              <w:rPr>
                <w:rFonts w:cs="Arial"/>
              </w:rPr>
            </w:pPr>
            <w:r w:rsidRPr="00A30073">
              <w:rPr>
                <w:rFonts w:cs="Arial"/>
              </w:rPr>
              <w:t>6.9 ± 1.45</w:t>
            </w:r>
          </w:p>
        </w:tc>
      </w:tr>
      <w:tr w:rsidR="007B74D1" w:rsidRPr="00A30073" w14:paraId="4CB319D9" w14:textId="77777777" w:rsidTr="00AE5D70">
        <w:trPr>
          <w:trHeight w:val="424"/>
        </w:trPr>
        <w:tc>
          <w:tcPr>
            <w:tcW w:w="5324" w:type="dxa"/>
            <w:gridSpan w:val="2"/>
            <w:tcBorders>
              <w:top w:val="nil"/>
              <w:left w:val="nil"/>
              <w:bottom w:val="nil"/>
              <w:right w:val="nil"/>
            </w:tcBorders>
            <w:shd w:val="clear" w:color="000000" w:fill="FFFFFF"/>
            <w:noWrap/>
            <w:vAlign w:val="center"/>
            <w:hideMark/>
          </w:tcPr>
          <w:p w14:paraId="542830F0" w14:textId="77777777" w:rsidR="007B74D1" w:rsidRPr="00A30073" w:rsidRDefault="007B74D1" w:rsidP="00AE5D70">
            <w:pPr>
              <w:rPr>
                <w:rFonts w:cs="Arial"/>
              </w:rPr>
            </w:pPr>
            <w:r w:rsidRPr="00A30073">
              <w:rPr>
                <w:rFonts w:cs="Arial"/>
              </w:rPr>
              <w:t>uACR (mg/mmol)</w:t>
            </w:r>
          </w:p>
        </w:tc>
        <w:tc>
          <w:tcPr>
            <w:tcW w:w="3662" w:type="dxa"/>
            <w:tcBorders>
              <w:top w:val="nil"/>
              <w:left w:val="nil"/>
              <w:bottom w:val="nil"/>
              <w:right w:val="nil"/>
            </w:tcBorders>
            <w:shd w:val="clear" w:color="000000" w:fill="FFFFFF"/>
            <w:noWrap/>
            <w:vAlign w:val="center"/>
            <w:hideMark/>
          </w:tcPr>
          <w:p w14:paraId="24EA545C" w14:textId="77777777" w:rsidR="007B74D1" w:rsidRPr="00A30073" w:rsidRDefault="007B74D1" w:rsidP="00AE5D70">
            <w:pPr>
              <w:jc w:val="center"/>
              <w:rPr>
                <w:rFonts w:cs="Arial"/>
              </w:rPr>
            </w:pPr>
            <w:r w:rsidRPr="00A30073">
              <w:rPr>
                <w:rFonts w:cs="Arial"/>
              </w:rPr>
              <w:t>4.5 ± 15.17</w:t>
            </w:r>
          </w:p>
        </w:tc>
      </w:tr>
      <w:tr w:rsidR="007B74D1" w:rsidRPr="00A30073" w14:paraId="7E36439C" w14:textId="77777777" w:rsidTr="00AE5D70">
        <w:trPr>
          <w:trHeight w:val="423"/>
        </w:trPr>
        <w:tc>
          <w:tcPr>
            <w:tcW w:w="5324" w:type="dxa"/>
            <w:gridSpan w:val="2"/>
            <w:tcBorders>
              <w:top w:val="nil"/>
              <w:left w:val="nil"/>
              <w:bottom w:val="nil"/>
              <w:right w:val="nil"/>
            </w:tcBorders>
            <w:shd w:val="clear" w:color="000000" w:fill="FFFFFF"/>
            <w:noWrap/>
            <w:vAlign w:val="center"/>
            <w:hideMark/>
          </w:tcPr>
          <w:p w14:paraId="0DF37E2A" w14:textId="77777777" w:rsidR="007B74D1" w:rsidRPr="00A30073" w:rsidRDefault="007B74D1" w:rsidP="00AE5D70">
            <w:pPr>
              <w:rPr>
                <w:rFonts w:cs="Arial"/>
              </w:rPr>
            </w:pPr>
            <w:r w:rsidRPr="00A30073">
              <w:rPr>
                <w:rFonts w:cs="Arial"/>
              </w:rPr>
              <w:t>Serum Creatinine (mg/dl)</w:t>
            </w:r>
          </w:p>
        </w:tc>
        <w:tc>
          <w:tcPr>
            <w:tcW w:w="3662" w:type="dxa"/>
            <w:tcBorders>
              <w:top w:val="nil"/>
              <w:left w:val="nil"/>
              <w:bottom w:val="nil"/>
              <w:right w:val="nil"/>
            </w:tcBorders>
            <w:shd w:val="clear" w:color="000000" w:fill="FFFFFF"/>
            <w:noWrap/>
            <w:vAlign w:val="center"/>
            <w:hideMark/>
          </w:tcPr>
          <w:p w14:paraId="513BCD0D" w14:textId="77777777" w:rsidR="007B74D1" w:rsidRPr="00A30073" w:rsidRDefault="007B74D1" w:rsidP="00AE5D70">
            <w:pPr>
              <w:jc w:val="center"/>
              <w:rPr>
                <w:rFonts w:cs="Arial"/>
              </w:rPr>
            </w:pPr>
            <w:r w:rsidRPr="00A30073">
              <w:rPr>
                <w:rFonts w:cs="Arial"/>
              </w:rPr>
              <w:t>0.88 ± 0.12</w:t>
            </w:r>
          </w:p>
        </w:tc>
      </w:tr>
      <w:tr w:rsidR="007B74D1" w:rsidRPr="00A30073" w14:paraId="7384F224" w14:textId="77777777" w:rsidTr="00A7112F">
        <w:trPr>
          <w:trHeight w:val="424"/>
        </w:trPr>
        <w:tc>
          <w:tcPr>
            <w:tcW w:w="5324" w:type="dxa"/>
            <w:gridSpan w:val="2"/>
            <w:tcBorders>
              <w:top w:val="nil"/>
              <w:left w:val="nil"/>
              <w:bottom w:val="nil"/>
              <w:right w:val="nil"/>
            </w:tcBorders>
            <w:shd w:val="clear" w:color="000000" w:fill="FFFFFF"/>
            <w:noWrap/>
            <w:vAlign w:val="center"/>
            <w:hideMark/>
          </w:tcPr>
          <w:p w14:paraId="02CCBA5A" w14:textId="77777777" w:rsidR="007B74D1" w:rsidRPr="00A30073" w:rsidRDefault="007B74D1" w:rsidP="00AE5D70">
            <w:pPr>
              <w:rPr>
                <w:rFonts w:cs="Arial"/>
              </w:rPr>
            </w:pPr>
            <w:r w:rsidRPr="00A30073">
              <w:rPr>
                <w:rFonts w:cs="Arial"/>
              </w:rPr>
              <w:t>Serum albumin (g/dl)</w:t>
            </w:r>
          </w:p>
        </w:tc>
        <w:tc>
          <w:tcPr>
            <w:tcW w:w="3662" w:type="dxa"/>
            <w:tcBorders>
              <w:top w:val="nil"/>
              <w:left w:val="nil"/>
              <w:bottom w:val="nil"/>
              <w:right w:val="nil"/>
            </w:tcBorders>
            <w:shd w:val="clear" w:color="000000" w:fill="FFFFFF"/>
            <w:noWrap/>
            <w:vAlign w:val="center"/>
            <w:hideMark/>
          </w:tcPr>
          <w:p w14:paraId="0315B9C8" w14:textId="77777777" w:rsidR="007B74D1" w:rsidRPr="00A30073" w:rsidRDefault="007B74D1" w:rsidP="00AE5D70">
            <w:pPr>
              <w:jc w:val="center"/>
              <w:rPr>
                <w:rFonts w:cs="Arial"/>
              </w:rPr>
            </w:pPr>
            <w:r w:rsidRPr="00A30073">
              <w:rPr>
                <w:rFonts w:cs="Arial"/>
              </w:rPr>
              <w:t>4.75 ± 0.41</w:t>
            </w:r>
          </w:p>
        </w:tc>
      </w:tr>
      <w:tr w:rsidR="00EE1B5E" w:rsidRPr="00A30073" w14:paraId="32EB1AE0" w14:textId="77777777" w:rsidTr="00EE1B5E">
        <w:trPr>
          <w:trHeight w:val="424"/>
        </w:trPr>
        <w:tc>
          <w:tcPr>
            <w:tcW w:w="5324" w:type="dxa"/>
            <w:gridSpan w:val="2"/>
            <w:tcBorders>
              <w:top w:val="nil"/>
              <w:left w:val="nil"/>
              <w:bottom w:val="nil"/>
              <w:right w:val="nil"/>
            </w:tcBorders>
            <w:shd w:val="clear" w:color="000000" w:fill="FFFFFF"/>
            <w:noWrap/>
            <w:vAlign w:val="center"/>
          </w:tcPr>
          <w:p w14:paraId="4E4A40AA" w14:textId="77777777" w:rsidR="00EE1B5E" w:rsidRPr="00A30073" w:rsidRDefault="00EE1B5E" w:rsidP="00EE1B5E">
            <w:pPr>
              <w:spacing w:after="0" w:line="240" w:lineRule="auto"/>
              <w:rPr>
                <w:rFonts w:cstheme="minorHAnsi"/>
                <w:lang w:eastAsia="en-GB"/>
              </w:rPr>
            </w:pPr>
            <w:r w:rsidRPr="00A30073">
              <w:rPr>
                <w:rFonts w:cstheme="minorHAnsi"/>
                <w:lang w:eastAsia="en-GB"/>
              </w:rPr>
              <w:t xml:space="preserve">Prop. smoker </w:t>
            </w:r>
          </w:p>
        </w:tc>
        <w:tc>
          <w:tcPr>
            <w:tcW w:w="3662" w:type="dxa"/>
            <w:tcBorders>
              <w:top w:val="nil"/>
              <w:left w:val="nil"/>
              <w:bottom w:val="nil"/>
              <w:right w:val="nil"/>
            </w:tcBorders>
            <w:shd w:val="clear" w:color="000000" w:fill="FFFFFF"/>
            <w:noWrap/>
            <w:vAlign w:val="center"/>
          </w:tcPr>
          <w:p w14:paraId="119F9A32" w14:textId="77777777" w:rsidR="00EE1B5E" w:rsidRPr="00A30073" w:rsidRDefault="00EE1B5E" w:rsidP="00EE1B5E">
            <w:pPr>
              <w:spacing w:after="0" w:line="240" w:lineRule="auto"/>
              <w:jc w:val="center"/>
              <w:rPr>
                <w:rFonts w:cstheme="minorHAnsi"/>
                <w:lang w:eastAsia="en-GB"/>
              </w:rPr>
            </w:pPr>
            <w:r w:rsidRPr="00A30073">
              <w:rPr>
                <w:rFonts w:cstheme="minorHAnsi"/>
                <w:lang w:eastAsia="en-GB"/>
              </w:rPr>
              <w:t>0.15</w:t>
            </w:r>
          </w:p>
        </w:tc>
      </w:tr>
      <w:tr w:rsidR="00EE1B5E" w:rsidRPr="00A30073" w14:paraId="16E86615" w14:textId="77777777" w:rsidTr="00EE1B5E">
        <w:trPr>
          <w:trHeight w:val="424"/>
        </w:trPr>
        <w:tc>
          <w:tcPr>
            <w:tcW w:w="5324" w:type="dxa"/>
            <w:gridSpan w:val="2"/>
            <w:tcBorders>
              <w:top w:val="nil"/>
              <w:left w:val="nil"/>
              <w:bottom w:val="nil"/>
              <w:right w:val="nil"/>
            </w:tcBorders>
            <w:shd w:val="clear" w:color="000000" w:fill="FFFFFF"/>
            <w:noWrap/>
            <w:vAlign w:val="center"/>
          </w:tcPr>
          <w:p w14:paraId="0072CB63" w14:textId="77777777" w:rsidR="00EE1B5E" w:rsidRPr="00A30073" w:rsidRDefault="00EE1B5E" w:rsidP="00EE1B5E">
            <w:pPr>
              <w:spacing w:after="0" w:line="240" w:lineRule="auto"/>
              <w:rPr>
                <w:rFonts w:cstheme="minorHAnsi"/>
                <w:lang w:eastAsia="en-GB"/>
              </w:rPr>
            </w:pPr>
            <w:r w:rsidRPr="00A30073">
              <w:rPr>
                <w:rFonts w:cstheme="minorHAnsi"/>
                <w:lang w:eastAsia="en-GB"/>
              </w:rPr>
              <w:t xml:space="preserve">Cigarettes/day </w:t>
            </w:r>
          </w:p>
        </w:tc>
        <w:tc>
          <w:tcPr>
            <w:tcW w:w="3662" w:type="dxa"/>
            <w:tcBorders>
              <w:top w:val="nil"/>
              <w:left w:val="nil"/>
              <w:bottom w:val="nil"/>
              <w:right w:val="nil"/>
            </w:tcBorders>
            <w:shd w:val="clear" w:color="000000" w:fill="FFFFFF"/>
            <w:noWrap/>
            <w:vAlign w:val="center"/>
          </w:tcPr>
          <w:p w14:paraId="4EF1376E" w14:textId="77777777" w:rsidR="00EE1B5E" w:rsidRPr="00A30073" w:rsidRDefault="00EE1B5E" w:rsidP="00EE1B5E">
            <w:pPr>
              <w:spacing w:after="0" w:line="240" w:lineRule="auto"/>
              <w:jc w:val="center"/>
              <w:rPr>
                <w:rFonts w:cstheme="minorHAnsi"/>
                <w:lang w:eastAsia="en-GB"/>
              </w:rPr>
            </w:pPr>
            <w:r w:rsidRPr="00A30073">
              <w:rPr>
                <w:rFonts w:cstheme="minorHAnsi"/>
                <w:lang w:eastAsia="en-GB"/>
              </w:rPr>
              <w:t>3.00</w:t>
            </w:r>
          </w:p>
        </w:tc>
      </w:tr>
      <w:tr w:rsidR="00EE1B5E" w:rsidRPr="00A30073" w14:paraId="0D8C3A9D" w14:textId="77777777" w:rsidTr="00EE1B5E">
        <w:trPr>
          <w:trHeight w:val="424"/>
        </w:trPr>
        <w:tc>
          <w:tcPr>
            <w:tcW w:w="5324" w:type="dxa"/>
            <w:gridSpan w:val="2"/>
            <w:tcBorders>
              <w:top w:val="nil"/>
              <w:left w:val="nil"/>
              <w:bottom w:val="nil"/>
              <w:right w:val="nil"/>
            </w:tcBorders>
            <w:shd w:val="clear" w:color="000000" w:fill="FFFFFF"/>
            <w:noWrap/>
            <w:vAlign w:val="center"/>
          </w:tcPr>
          <w:p w14:paraId="6CA100E1" w14:textId="77777777" w:rsidR="00EE1B5E" w:rsidRPr="00A30073" w:rsidRDefault="00EE1B5E" w:rsidP="00EE1B5E">
            <w:pPr>
              <w:spacing w:after="0" w:line="240" w:lineRule="auto"/>
              <w:rPr>
                <w:rFonts w:cstheme="minorHAnsi"/>
                <w:lang w:eastAsia="en-GB"/>
              </w:rPr>
            </w:pPr>
            <w:r w:rsidRPr="00A30073">
              <w:rPr>
                <w:rFonts w:cstheme="minorHAnsi"/>
                <w:lang w:eastAsia="en-GB"/>
              </w:rPr>
              <w:t xml:space="preserve">Alcohol consumption oz/week </w:t>
            </w:r>
          </w:p>
        </w:tc>
        <w:tc>
          <w:tcPr>
            <w:tcW w:w="3662" w:type="dxa"/>
            <w:tcBorders>
              <w:top w:val="nil"/>
              <w:left w:val="nil"/>
              <w:bottom w:val="nil"/>
              <w:right w:val="nil"/>
            </w:tcBorders>
            <w:shd w:val="clear" w:color="000000" w:fill="FFFFFF"/>
            <w:noWrap/>
            <w:vAlign w:val="center"/>
          </w:tcPr>
          <w:p w14:paraId="77AB9BFD" w14:textId="77777777" w:rsidR="00EE1B5E" w:rsidRPr="00A30073" w:rsidRDefault="00EE1B5E" w:rsidP="00EE1B5E">
            <w:pPr>
              <w:spacing w:after="0" w:line="240" w:lineRule="auto"/>
              <w:jc w:val="center"/>
              <w:rPr>
                <w:rFonts w:cstheme="minorHAnsi"/>
                <w:lang w:eastAsia="en-GB"/>
              </w:rPr>
            </w:pPr>
            <w:r w:rsidRPr="00A30073">
              <w:rPr>
                <w:rFonts w:cstheme="minorHAnsi"/>
                <w:lang w:eastAsia="en-GB"/>
              </w:rPr>
              <w:t>3.00</w:t>
            </w:r>
          </w:p>
        </w:tc>
      </w:tr>
      <w:tr w:rsidR="00A7112F" w:rsidRPr="00A30073" w14:paraId="45ACAF1D" w14:textId="77777777" w:rsidTr="00A7112F">
        <w:trPr>
          <w:trHeight w:val="424"/>
        </w:trPr>
        <w:tc>
          <w:tcPr>
            <w:tcW w:w="5324" w:type="dxa"/>
            <w:gridSpan w:val="2"/>
            <w:tcBorders>
              <w:top w:val="nil"/>
              <w:left w:val="nil"/>
              <w:bottom w:val="nil"/>
              <w:right w:val="nil"/>
            </w:tcBorders>
            <w:shd w:val="clear" w:color="000000" w:fill="FFFFFF"/>
            <w:noWrap/>
            <w:vAlign w:val="center"/>
          </w:tcPr>
          <w:p w14:paraId="57B15CB2" w14:textId="77777777" w:rsidR="00A7112F" w:rsidRPr="00A30073" w:rsidRDefault="00A7112F" w:rsidP="00AE5D70">
            <w:pPr>
              <w:rPr>
                <w:rFonts w:cs="Arial"/>
                <w:b/>
              </w:rPr>
            </w:pPr>
            <w:r w:rsidRPr="00A30073">
              <w:rPr>
                <w:rFonts w:cs="Arial"/>
                <w:b/>
              </w:rPr>
              <w:t xml:space="preserve">Baseline </w:t>
            </w:r>
            <w:r w:rsidRPr="00A30073">
              <w:rPr>
                <w:rFonts w:cs="Arial"/>
                <w:b/>
                <w:lang/>
              </w:rPr>
              <w:t>CVD</w:t>
            </w:r>
            <w:r w:rsidRPr="00A30073">
              <w:rPr>
                <w:rFonts w:cs="Arial"/>
                <w:b/>
              </w:rPr>
              <w:t xml:space="preserve"> complications</w:t>
            </w:r>
          </w:p>
        </w:tc>
        <w:tc>
          <w:tcPr>
            <w:tcW w:w="3662" w:type="dxa"/>
            <w:tcBorders>
              <w:top w:val="nil"/>
              <w:left w:val="nil"/>
              <w:bottom w:val="nil"/>
              <w:right w:val="nil"/>
            </w:tcBorders>
            <w:shd w:val="clear" w:color="000000" w:fill="FFFFFF"/>
            <w:noWrap/>
            <w:vAlign w:val="center"/>
          </w:tcPr>
          <w:p w14:paraId="4A3DF354" w14:textId="77777777" w:rsidR="00A7112F" w:rsidRPr="00A30073" w:rsidRDefault="00A7112F" w:rsidP="00AE5D70">
            <w:pPr>
              <w:jc w:val="center"/>
              <w:rPr>
                <w:rFonts w:cs="Arial"/>
              </w:rPr>
            </w:pPr>
          </w:p>
        </w:tc>
      </w:tr>
      <w:tr w:rsidR="00A7112F" w:rsidRPr="00A30073" w14:paraId="1B027213" w14:textId="77777777" w:rsidTr="00A7112F">
        <w:trPr>
          <w:trHeight w:val="424"/>
        </w:trPr>
        <w:tc>
          <w:tcPr>
            <w:tcW w:w="5324" w:type="dxa"/>
            <w:gridSpan w:val="2"/>
            <w:tcBorders>
              <w:top w:val="nil"/>
              <w:left w:val="nil"/>
              <w:bottom w:val="nil"/>
              <w:right w:val="nil"/>
            </w:tcBorders>
            <w:shd w:val="clear" w:color="000000" w:fill="FFFFFF"/>
            <w:noWrap/>
            <w:vAlign w:val="center"/>
          </w:tcPr>
          <w:p w14:paraId="0CC6BDF6"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MI </w:t>
            </w:r>
          </w:p>
        </w:tc>
        <w:tc>
          <w:tcPr>
            <w:tcW w:w="3662" w:type="dxa"/>
            <w:tcBorders>
              <w:top w:val="nil"/>
              <w:left w:val="nil"/>
              <w:bottom w:val="nil"/>
              <w:right w:val="nil"/>
            </w:tcBorders>
            <w:shd w:val="clear" w:color="000000" w:fill="FFFFFF"/>
            <w:noWrap/>
            <w:vAlign w:val="center"/>
          </w:tcPr>
          <w:p w14:paraId="3F72325A"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0.013</w:t>
            </w:r>
          </w:p>
        </w:tc>
      </w:tr>
      <w:tr w:rsidR="00A7112F" w:rsidRPr="00A30073" w14:paraId="32074F25" w14:textId="77777777" w:rsidTr="00A7112F">
        <w:trPr>
          <w:trHeight w:val="424"/>
        </w:trPr>
        <w:tc>
          <w:tcPr>
            <w:tcW w:w="5324" w:type="dxa"/>
            <w:gridSpan w:val="2"/>
            <w:tcBorders>
              <w:top w:val="nil"/>
              <w:left w:val="nil"/>
              <w:bottom w:val="nil"/>
              <w:right w:val="nil"/>
            </w:tcBorders>
            <w:shd w:val="clear" w:color="000000" w:fill="FFFFFF"/>
            <w:noWrap/>
            <w:vAlign w:val="center"/>
          </w:tcPr>
          <w:p w14:paraId="47DF1267"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Angina </w:t>
            </w:r>
          </w:p>
        </w:tc>
        <w:tc>
          <w:tcPr>
            <w:tcW w:w="3662" w:type="dxa"/>
            <w:tcBorders>
              <w:top w:val="nil"/>
              <w:left w:val="nil"/>
              <w:bottom w:val="nil"/>
              <w:right w:val="nil"/>
            </w:tcBorders>
            <w:shd w:val="clear" w:color="000000" w:fill="FFFFFF"/>
            <w:noWrap/>
            <w:vAlign w:val="center"/>
          </w:tcPr>
          <w:p w14:paraId="53D1C88B"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0.005</w:t>
            </w:r>
          </w:p>
        </w:tc>
      </w:tr>
      <w:tr w:rsidR="00A7112F" w:rsidRPr="00A30073" w14:paraId="000907D2" w14:textId="77777777" w:rsidTr="00A7112F">
        <w:trPr>
          <w:trHeight w:val="424"/>
        </w:trPr>
        <w:tc>
          <w:tcPr>
            <w:tcW w:w="5324" w:type="dxa"/>
            <w:gridSpan w:val="2"/>
            <w:tcBorders>
              <w:top w:val="nil"/>
              <w:left w:val="nil"/>
              <w:bottom w:val="nil"/>
              <w:right w:val="nil"/>
            </w:tcBorders>
            <w:shd w:val="clear" w:color="000000" w:fill="FFFFFF"/>
            <w:noWrap/>
            <w:vAlign w:val="center"/>
          </w:tcPr>
          <w:p w14:paraId="5D73FF54"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PVD </w:t>
            </w:r>
          </w:p>
        </w:tc>
        <w:tc>
          <w:tcPr>
            <w:tcW w:w="3662" w:type="dxa"/>
            <w:tcBorders>
              <w:top w:val="nil"/>
              <w:left w:val="nil"/>
              <w:bottom w:val="nil"/>
              <w:right w:val="nil"/>
            </w:tcBorders>
            <w:shd w:val="clear" w:color="000000" w:fill="FFFFFF"/>
            <w:noWrap/>
            <w:vAlign w:val="center"/>
          </w:tcPr>
          <w:p w14:paraId="46171EE5"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0.001</w:t>
            </w:r>
          </w:p>
        </w:tc>
      </w:tr>
      <w:tr w:rsidR="00A7112F" w:rsidRPr="00A30073" w14:paraId="3F96559A" w14:textId="77777777" w:rsidTr="00A7112F">
        <w:trPr>
          <w:trHeight w:val="424"/>
        </w:trPr>
        <w:tc>
          <w:tcPr>
            <w:tcW w:w="5324" w:type="dxa"/>
            <w:gridSpan w:val="2"/>
            <w:tcBorders>
              <w:top w:val="nil"/>
              <w:left w:val="nil"/>
              <w:bottom w:val="nil"/>
              <w:right w:val="nil"/>
            </w:tcBorders>
            <w:shd w:val="clear" w:color="000000" w:fill="FFFFFF"/>
            <w:noWrap/>
            <w:vAlign w:val="center"/>
          </w:tcPr>
          <w:p w14:paraId="757DA17B"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stroke </w:t>
            </w:r>
          </w:p>
        </w:tc>
        <w:tc>
          <w:tcPr>
            <w:tcW w:w="3662" w:type="dxa"/>
            <w:tcBorders>
              <w:top w:val="nil"/>
              <w:left w:val="nil"/>
              <w:bottom w:val="nil"/>
              <w:right w:val="nil"/>
            </w:tcBorders>
            <w:shd w:val="clear" w:color="000000" w:fill="FFFFFF"/>
            <w:noWrap/>
            <w:vAlign w:val="center"/>
          </w:tcPr>
          <w:p w14:paraId="6FA8F39A"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0.060</w:t>
            </w:r>
          </w:p>
        </w:tc>
      </w:tr>
      <w:tr w:rsidR="00A7112F" w:rsidRPr="00A30073" w14:paraId="6DDBEE3A" w14:textId="77777777" w:rsidTr="00A7112F">
        <w:trPr>
          <w:trHeight w:val="424"/>
        </w:trPr>
        <w:tc>
          <w:tcPr>
            <w:tcW w:w="5324" w:type="dxa"/>
            <w:gridSpan w:val="2"/>
            <w:tcBorders>
              <w:top w:val="nil"/>
              <w:left w:val="nil"/>
              <w:bottom w:val="nil"/>
              <w:right w:val="nil"/>
            </w:tcBorders>
            <w:shd w:val="clear" w:color="000000" w:fill="FFFFFF"/>
            <w:noWrap/>
            <w:vAlign w:val="center"/>
          </w:tcPr>
          <w:p w14:paraId="055EDC20"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HF </w:t>
            </w:r>
          </w:p>
        </w:tc>
        <w:tc>
          <w:tcPr>
            <w:tcW w:w="3662" w:type="dxa"/>
            <w:tcBorders>
              <w:top w:val="nil"/>
              <w:left w:val="nil"/>
              <w:bottom w:val="nil"/>
              <w:right w:val="nil"/>
            </w:tcBorders>
            <w:shd w:val="clear" w:color="000000" w:fill="FFFFFF"/>
            <w:noWrap/>
            <w:vAlign w:val="center"/>
          </w:tcPr>
          <w:p w14:paraId="232F6FAC"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0.002</w:t>
            </w:r>
          </w:p>
        </w:tc>
      </w:tr>
      <w:tr w:rsidR="00A7112F" w:rsidRPr="00A30073" w14:paraId="62BB462C" w14:textId="77777777" w:rsidTr="00A7112F">
        <w:trPr>
          <w:trHeight w:val="424"/>
        </w:trPr>
        <w:tc>
          <w:tcPr>
            <w:tcW w:w="5324" w:type="dxa"/>
            <w:gridSpan w:val="2"/>
            <w:tcBorders>
              <w:top w:val="nil"/>
              <w:left w:val="nil"/>
              <w:bottom w:val="nil"/>
              <w:right w:val="nil"/>
            </w:tcBorders>
            <w:shd w:val="clear" w:color="000000" w:fill="FFFFFF"/>
            <w:noWrap/>
            <w:vAlign w:val="center"/>
          </w:tcPr>
          <w:p w14:paraId="294F119F" w14:textId="77777777" w:rsidR="00A7112F" w:rsidRPr="00A30073" w:rsidRDefault="00A7112F" w:rsidP="00A7112F">
            <w:pPr>
              <w:spacing w:after="0" w:line="240" w:lineRule="auto"/>
              <w:rPr>
                <w:rFonts w:cstheme="minorHAnsi"/>
                <w:lang w:eastAsia="en-GB"/>
              </w:rPr>
            </w:pPr>
            <w:r w:rsidRPr="00A30073">
              <w:rPr>
                <w:rFonts w:cstheme="minorHAnsi"/>
                <w:lang w:eastAsia="en-GB"/>
              </w:rPr>
              <w:lastRenderedPageBreak/>
              <w:t xml:space="preserve">Prop. Atrial </w:t>
            </w:r>
            <w:r w:rsidR="00EE1B5E" w:rsidRPr="00A30073">
              <w:rPr>
                <w:rFonts w:cstheme="minorHAnsi"/>
                <w:lang w:eastAsia="en-GB"/>
              </w:rPr>
              <w:t>fibrillation</w:t>
            </w:r>
            <w:r w:rsidRPr="00A30073">
              <w:rPr>
                <w:rFonts w:cstheme="minorHAnsi"/>
                <w:lang w:eastAsia="en-GB"/>
              </w:rPr>
              <w:t xml:space="preserve"> </w:t>
            </w:r>
          </w:p>
        </w:tc>
        <w:tc>
          <w:tcPr>
            <w:tcW w:w="3662" w:type="dxa"/>
            <w:tcBorders>
              <w:top w:val="nil"/>
              <w:left w:val="nil"/>
              <w:bottom w:val="nil"/>
              <w:right w:val="nil"/>
            </w:tcBorders>
            <w:shd w:val="clear" w:color="000000" w:fill="FFFFFF"/>
            <w:noWrap/>
            <w:vAlign w:val="center"/>
          </w:tcPr>
          <w:p w14:paraId="5963BFA0"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0.013</w:t>
            </w:r>
          </w:p>
        </w:tc>
      </w:tr>
      <w:tr w:rsidR="00A7112F" w:rsidRPr="00A30073" w14:paraId="05DEDF97" w14:textId="77777777" w:rsidTr="00A7112F">
        <w:trPr>
          <w:trHeight w:val="424"/>
        </w:trPr>
        <w:tc>
          <w:tcPr>
            <w:tcW w:w="5324" w:type="dxa"/>
            <w:gridSpan w:val="2"/>
            <w:tcBorders>
              <w:top w:val="nil"/>
              <w:left w:val="nil"/>
              <w:bottom w:val="nil"/>
              <w:right w:val="nil"/>
            </w:tcBorders>
            <w:shd w:val="clear" w:color="000000" w:fill="FFFFFF"/>
            <w:noWrap/>
            <w:vAlign w:val="center"/>
          </w:tcPr>
          <w:p w14:paraId="457FF926"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LVH </w:t>
            </w:r>
          </w:p>
        </w:tc>
        <w:tc>
          <w:tcPr>
            <w:tcW w:w="3662" w:type="dxa"/>
            <w:tcBorders>
              <w:top w:val="nil"/>
              <w:left w:val="nil"/>
              <w:bottom w:val="nil"/>
              <w:right w:val="nil"/>
            </w:tcBorders>
            <w:shd w:val="clear" w:color="000000" w:fill="FFFFFF"/>
            <w:noWrap/>
            <w:vAlign w:val="center"/>
          </w:tcPr>
          <w:p w14:paraId="5986079C"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0.006</w:t>
            </w:r>
          </w:p>
        </w:tc>
      </w:tr>
      <w:tr w:rsidR="00A7112F" w:rsidRPr="00A30073" w14:paraId="688B75B8" w14:textId="77777777" w:rsidTr="00A7112F">
        <w:trPr>
          <w:trHeight w:val="424"/>
        </w:trPr>
        <w:tc>
          <w:tcPr>
            <w:tcW w:w="5324" w:type="dxa"/>
            <w:gridSpan w:val="2"/>
            <w:tcBorders>
              <w:top w:val="nil"/>
              <w:left w:val="nil"/>
              <w:bottom w:val="nil"/>
              <w:right w:val="nil"/>
            </w:tcBorders>
            <w:shd w:val="clear" w:color="000000" w:fill="FFFFFF"/>
            <w:noWrap/>
            <w:vAlign w:val="center"/>
          </w:tcPr>
          <w:p w14:paraId="52345741" w14:textId="77777777" w:rsidR="00A7112F" w:rsidRPr="00A30073" w:rsidRDefault="00A7112F" w:rsidP="00A7112F">
            <w:pPr>
              <w:spacing w:after="0" w:line="240" w:lineRule="auto"/>
              <w:rPr>
                <w:rFonts w:cstheme="minorHAnsi"/>
                <w:b/>
                <w:bCs/>
                <w:lang w:eastAsia="en-GB"/>
              </w:rPr>
            </w:pPr>
            <w:r w:rsidRPr="00A30073">
              <w:rPr>
                <w:rFonts w:cstheme="minorHAnsi"/>
                <w:b/>
                <w:bCs/>
                <w:lang w:eastAsia="en-GB"/>
              </w:rPr>
              <w:t>BASELINE RENAL COMPLICATIONS</w:t>
            </w:r>
          </w:p>
        </w:tc>
        <w:tc>
          <w:tcPr>
            <w:tcW w:w="3662" w:type="dxa"/>
            <w:tcBorders>
              <w:top w:val="nil"/>
              <w:left w:val="nil"/>
              <w:bottom w:val="nil"/>
              <w:right w:val="nil"/>
            </w:tcBorders>
            <w:shd w:val="clear" w:color="000000" w:fill="FFFFFF"/>
            <w:noWrap/>
            <w:vAlign w:val="center"/>
          </w:tcPr>
          <w:p w14:paraId="3D0449AE" w14:textId="77777777" w:rsidR="00A7112F" w:rsidRPr="00A30073" w:rsidRDefault="00A7112F" w:rsidP="00A7112F">
            <w:pPr>
              <w:spacing w:after="0" w:line="240" w:lineRule="auto"/>
              <w:jc w:val="center"/>
              <w:rPr>
                <w:rFonts w:cstheme="minorHAnsi"/>
                <w:lang w:eastAsia="en-GB"/>
              </w:rPr>
            </w:pPr>
          </w:p>
        </w:tc>
      </w:tr>
      <w:tr w:rsidR="00A7112F" w:rsidRPr="00A30073" w14:paraId="1052F7CB" w14:textId="77777777" w:rsidTr="00A7112F">
        <w:trPr>
          <w:trHeight w:val="424"/>
        </w:trPr>
        <w:tc>
          <w:tcPr>
            <w:tcW w:w="5324" w:type="dxa"/>
            <w:gridSpan w:val="2"/>
            <w:tcBorders>
              <w:top w:val="nil"/>
              <w:left w:val="nil"/>
              <w:bottom w:val="nil"/>
              <w:right w:val="nil"/>
            </w:tcBorders>
            <w:shd w:val="clear" w:color="000000" w:fill="FFFFFF"/>
            <w:noWrap/>
            <w:vAlign w:val="center"/>
          </w:tcPr>
          <w:p w14:paraId="4930080F" w14:textId="77777777" w:rsidR="00A7112F" w:rsidRPr="00A30073" w:rsidRDefault="00A7112F" w:rsidP="00A7112F">
            <w:pPr>
              <w:spacing w:after="0" w:line="240" w:lineRule="auto"/>
              <w:rPr>
                <w:rFonts w:cstheme="minorHAnsi"/>
                <w:lang w:eastAsia="en-GB"/>
              </w:rPr>
            </w:pPr>
            <w:r w:rsidRPr="00A30073">
              <w:rPr>
                <w:rFonts w:cstheme="minorHAnsi"/>
                <w:lang w:eastAsia="en-GB"/>
              </w:rPr>
              <w:t>Prop. Microalbuminuria</w:t>
            </w:r>
          </w:p>
        </w:tc>
        <w:tc>
          <w:tcPr>
            <w:tcW w:w="3662" w:type="dxa"/>
            <w:tcBorders>
              <w:top w:val="nil"/>
              <w:left w:val="nil"/>
              <w:bottom w:val="nil"/>
              <w:right w:val="nil"/>
            </w:tcBorders>
            <w:shd w:val="clear" w:color="000000" w:fill="FFFFFF"/>
            <w:noWrap/>
            <w:vAlign w:val="center"/>
          </w:tcPr>
          <w:p w14:paraId="52B1F6B9"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0.027</w:t>
            </w:r>
          </w:p>
        </w:tc>
      </w:tr>
      <w:tr w:rsidR="00A7112F" w:rsidRPr="00A30073" w14:paraId="59D58315" w14:textId="77777777" w:rsidTr="00A7112F">
        <w:trPr>
          <w:trHeight w:val="424"/>
        </w:trPr>
        <w:tc>
          <w:tcPr>
            <w:tcW w:w="5324" w:type="dxa"/>
            <w:gridSpan w:val="2"/>
            <w:tcBorders>
              <w:top w:val="nil"/>
              <w:left w:val="nil"/>
              <w:bottom w:val="nil"/>
              <w:right w:val="nil"/>
            </w:tcBorders>
            <w:shd w:val="clear" w:color="000000" w:fill="FFFFFF"/>
            <w:noWrap/>
            <w:vAlign w:val="center"/>
          </w:tcPr>
          <w:p w14:paraId="59F8DF64" w14:textId="77777777" w:rsidR="00A7112F" w:rsidRPr="00A30073" w:rsidRDefault="00A7112F" w:rsidP="00A7112F">
            <w:pPr>
              <w:spacing w:after="0" w:line="240" w:lineRule="auto"/>
              <w:rPr>
                <w:rFonts w:cstheme="minorHAnsi"/>
                <w:lang w:eastAsia="en-GB"/>
              </w:rPr>
            </w:pPr>
            <w:r w:rsidRPr="00A30073">
              <w:rPr>
                <w:rFonts w:cstheme="minorHAnsi"/>
                <w:lang w:eastAsia="en-GB"/>
              </w:rPr>
              <w:t>Prop. macroalbuminuria</w:t>
            </w:r>
          </w:p>
        </w:tc>
        <w:tc>
          <w:tcPr>
            <w:tcW w:w="3662" w:type="dxa"/>
            <w:tcBorders>
              <w:top w:val="nil"/>
              <w:left w:val="nil"/>
              <w:bottom w:val="nil"/>
              <w:right w:val="nil"/>
            </w:tcBorders>
            <w:shd w:val="clear" w:color="000000" w:fill="FFFFFF"/>
            <w:noWrap/>
            <w:vAlign w:val="center"/>
          </w:tcPr>
          <w:p w14:paraId="3B9EE575"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0.006</w:t>
            </w:r>
          </w:p>
        </w:tc>
      </w:tr>
      <w:tr w:rsidR="00A7112F" w:rsidRPr="00A30073" w14:paraId="384DE052" w14:textId="77777777" w:rsidTr="00A7112F">
        <w:trPr>
          <w:trHeight w:val="424"/>
        </w:trPr>
        <w:tc>
          <w:tcPr>
            <w:tcW w:w="5324" w:type="dxa"/>
            <w:gridSpan w:val="2"/>
            <w:tcBorders>
              <w:top w:val="nil"/>
              <w:left w:val="nil"/>
              <w:bottom w:val="nil"/>
              <w:right w:val="nil"/>
            </w:tcBorders>
            <w:shd w:val="clear" w:color="000000" w:fill="FFFFFF"/>
            <w:noWrap/>
            <w:vAlign w:val="center"/>
          </w:tcPr>
          <w:p w14:paraId="6F12A4B4"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ESRD </w:t>
            </w:r>
          </w:p>
        </w:tc>
        <w:tc>
          <w:tcPr>
            <w:tcW w:w="3662" w:type="dxa"/>
            <w:tcBorders>
              <w:top w:val="nil"/>
              <w:left w:val="nil"/>
              <w:bottom w:val="nil"/>
              <w:right w:val="nil"/>
            </w:tcBorders>
            <w:shd w:val="clear" w:color="000000" w:fill="FFFFFF"/>
            <w:noWrap/>
            <w:vAlign w:val="center"/>
          </w:tcPr>
          <w:p w14:paraId="394572B2"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0.00118</w:t>
            </w:r>
          </w:p>
        </w:tc>
      </w:tr>
      <w:tr w:rsidR="00A7112F" w:rsidRPr="00A30073" w14:paraId="51870A52" w14:textId="77777777" w:rsidTr="00A7112F">
        <w:trPr>
          <w:trHeight w:val="424"/>
        </w:trPr>
        <w:tc>
          <w:tcPr>
            <w:tcW w:w="5324" w:type="dxa"/>
            <w:gridSpan w:val="2"/>
            <w:tcBorders>
              <w:top w:val="nil"/>
              <w:left w:val="nil"/>
              <w:bottom w:val="nil"/>
              <w:right w:val="nil"/>
            </w:tcBorders>
            <w:shd w:val="clear" w:color="000000" w:fill="FFFFFF"/>
            <w:noWrap/>
            <w:vAlign w:val="center"/>
          </w:tcPr>
          <w:p w14:paraId="1EA37279" w14:textId="77777777" w:rsidR="00A7112F" w:rsidRPr="00A30073" w:rsidRDefault="00A7112F" w:rsidP="00A7112F">
            <w:pPr>
              <w:spacing w:after="0" w:line="240" w:lineRule="auto"/>
              <w:rPr>
                <w:rFonts w:cstheme="minorHAnsi"/>
                <w:b/>
                <w:bCs/>
                <w:lang w:eastAsia="en-GB"/>
              </w:rPr>
            </w:pPr>
            <w:r w:rsidRPr="00A30073">
              <w:rPr>
                <w:rFonts w:cstheme="minorHAnsi"/>
                <w:b/>
                <w:bCs/>
                <w:lang w:eastAsia="en-GB"/>
              </w:rPr>
              <w:t>BASELINE RETINOPATHY COMPLICATIONS</w:t>
            </w:r>
          </w:p>
        </w:tc>
        <w:tc>
          <w:tcPr>
            <w:tcW w:w="3662" w:type="dxa"/>
            <w:tcBorders>
              <w:top w:val="nil"/>
              <w:left w:val="nil"/>
              <w:bottom w:val="nil"/>
              <w:right w:val="nil"/>
            </w:tcBorders>
            <w:shd w:val="clear" w:color="000000" w:fill="FFFFFF"/>
            <w:noWrap/>
            <w:vAlign w:val="center"/>
          </w:tcPr>
          <w:p w14:paraId="7F6B46C6" w14:textId="77777777" w:rsidR="00A7112F" w:rsidRPr="00A30073" w:rsidRDefault="00A7112F" w:rsidP="00A7112F">
            <w:pPr>
              <w:spacing w:after="0" w:line="240" w:lineRule="auto"/>
              <w:rPr>
                <w:rFonts w:cstheme="minorHAnsi"/>
                <w:lang w:eastAsia="en-GB"/>
              </w:rPr>
            </w:pPr>
            <w:r w:rsidRPr="00A30073">
              <w:rPr>
                <w:rFonts w:cstheme="minorHAnsi"/>
                <w:lang w:eastAsia="en-GB"/>
              </w:rPr>
              <w:t> </w:t>
            </w:r>
          </w:p>
        </w:tc>
      </w:tr>
      <w:tr w:rsidR="00A7112F" w:rsidRPr="00A30073" w14:paraId="645B337B" w14:textId="77777777" w:rsidTr="00A7112F">
        <w:trPr>
          <w:trHeight w:val="424"/>
        </w:trPr>
        <w:tc>
          <w:tcPr>
            <w:tcW w:w="5324" w:type="dxa"/>
            <w:gridSpan w:val="2"/>
            <w:tcBorders>
              <w:top w:val="nil"/>
              <w:left w:val="nil"/>
              <w:bottom w:val="nil"/>
              <w:right w:val="nil"/>
            </w:tcBorders>
            <w:shd w:val="clear" w:color="000000" w:fill="FFFFFF"/>
            <w:noWrap/>
            <w:vAlign w:val="center"/>
          </w:tcPr>
          <w:p w14:paraId="44A3D750"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BDR </w:t>
            </w:r>
          </w:p>
        </w:tc>
        <w:tc>
          <w:tcPr>
            <w:tcW w:w="3662" w:type="dxa"/>
            <w:tcBorders>
              <w:top w:val="nil"/>
              <w:left w:val="nil"/>
              <w:bottom w:val="nil"/>
              <w:right w:val="nil"/>
            </w:tcBorders>
            <w:shd w:val="clear" w:color="000000" w:fill="FFFFFF"/>
            <w:noWrap/>
            <w:vAlign w:val="center"/>
          </w:tcPr>
          <w:p w14:paraId="5C87E4A3"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0.047</w:t>
            </w:r>
          </w:p>
        </w:tc>
      </w:tr>
      <w:tr w:rsidR="00A7112F" w:rsidRPr="00A30073" w14:paraId="20CFD4FA" w14:textId="77777777" w:rsidTr="00A7112F">
        <w:trPr>
          <w:trHeight w:val="424"/>
        </w:trPr>
        <w:tc>
          <w:tcPr>
            <w:tcW w:w="5324" w:type="dxa"/>
            <w:gridSpan w:val="2"/>
            <w:tcBorders>
              <w:top w:val="nil"/>
              <w:left w:val="nil"/>
              <w:bottom w:val="nil"/>
              <w:right w:val="nil"/>
            </w:tcBorders>
            <w:shd w:val="clear" w:color="000000" w:fill="FFFFFF"/>
            <w:noWrap/>
            <w:vAlign w:val="center"/>
          </w:tcPr>
          <w:p w14:paraId="19D2CF9A"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PDR </w:t>
            </w:r>
          </w:p>
        </w:tc>
        <w:tc>
          <w:tcPr>
            <w:tcW w:w="3662" w:type="dxa"/>
            <w:tcBorders>
              <w:top w:val="nil"/>
              <w:left w:val="nil"/>
              <w:bottom w:val="nil"/>
              <w:right w:val="nil"/>
            </w:tcBorders>
            <w:shd w:val="clear" w:color="000000" w:fill="FFFFFF"/>
            <w:noWrap/>
            <w:vAlign w:val="center"/>
          </w:tcPr>
          <w:p w14:paraId="4772F939"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0.071</w:t>
            </w:r>
          </w:p>
        </w:tc>
      </w:tr>
      <w:tr w:rsidR="00A7112F" w:rsidRPr="00A30073" w14:paraId="7166BEF7" w14:textId="77777777" w:rsidTr="00A7112F">
        <w:trPr>
          <w:trHeight w:val="424"/>
        </w:trPr>
        <w:tc>
          <w:tcPr>
            <w:tcW w:w="5324" w:type="dxa"/>
            <w:gridSpan w:val="2"/>
            <w:tcBorders>
              <w:top w:val="nil"/>
              <w:left w:val="nil"/>
              <w:bottom w:val="nil"/>
              <w:right w:val="nil"/>
            </w:tcBorders>
            <w:shd w:val="clear" w:color="000000" w:fill="FFFFFF"/>
            <w:noWrap/>
            <w:vAlign w:val="center"/>
          </w:tcPr>
          <w:p w14:paraId="602A496B"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SVL </w:t>
            </w:r>
          </w:p>
        </w:tc>
        <w:tc>
          <w:tcPr>
            <w:tcW w:w="3662" w:type="dxa"/>
            <w:tcBorders>
              <w:top w:val="nil"/>
              <w:left w:val="nil"/>
              <w:bottom w:val="nil"/>
              <w:right w:val="nil"/>
            </w:tcBorders>
            <w:shd w:val="clear" w:color="000000" w:fill="FFFFFF"/>
            <w:noWrap/>
            <w:vAlign w:val="center"/>
          </w:tcPr>
          <w:p w14:paraId="514F7C77"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0.030</w:t>
            </w:r>
          </w:p>
        </w:tc>
      </w:tr>
      <w:tr w:rsidR="00A7112F" w:rsidRPr="00A30073" w14:paraId="02B0FD3E" w14:textId="77777777" w:rsidTr="00A7112F">
        <w:trPr>
          <w:trHeight w:val="424"/>
        </w:trPr>
        <w:tc>
          <w:tcPr>
            <w:tcW w:w="5324" w:type="dxa"/>
            <w:gridSpan w:val="2"/>
            <w:tcBorders>
              <w:top w:val="nil"/>
              <w:left w:val="nil"/>
              <w:bottom w:val="nil"/>
              <w:right w:val="nil"/>
            </w:tcBorders>
            <w:shd w:val="clear" w:color="000000" w:fill="FFFFFF"/>
            <w:noWrap/>
            <w:vAlign w:val="center"/>
          </w:tcPr>
          <w:p w14:paraId="0DB8EC7D" w14:textId="77777777" w:rsidR="00A7112F" w:rsidRPr="00A30073" w:rsidRDefault="00A7112F" w:rsidP="00A7112F">
            <w:pPr>
              <w:spacing w:after="0" w:line="240" w:lineRule="auto"/>
              <w:rPr>
                <w:rFonts w:cstheme="minorHAnsi"/>
                <w:b/>
                <w:bCs/>
                <w:lang w:eastAsia="en-GB"/>
              </w:rPr>
            </w:pPr>
            <w:r w:rsidRPr="00A30073">
              <w:rPr>
                <w:rFonts w:cstheme="minorHAnsi"/>
                <w:b/>
                <w:bCs/>
                <w:lang w:eastAsia="en-GB"/>
              </w:rPr>
              <w:t>BASELINE MACULAR EDEMA</w:t>
            </w:r>
          </w:p>
        </w:tc>
        <w:tc>
          <w:tcPr>
            <w:tcW w:w="3662" w:type="dxa"/>
            <w:tcBorders>
              <w:top w:val="nil"/>
              <w:left w:val="nil"/>
              <w:bottom w:val="nil"/>
              <w:right w:val="nil"/>
            </w:tcBorders>
            <w:shd w:val="clear" w:color="000000" w:fill="FFFFFF"/>
            <w:noWrap/>
            <w:vAlign w:val="center"/>
          </w:tcPr>
          <w:p w14:paraId="0A553A79" w14:textId="77777777" w:rsidR="00A7112F" w:rsidRPr="00A30073" w:rsidRDefault="00A7112F" w:rsidP="00A7112F">
            <w:pPr>
              <w:spacing w:after="0" w:line="240" w:lineRule="auto"/>
              <w:jc w:val="center"/>
              <w:rPr>
                <w:rFonts w:cstheme="minorHAnsi"/>
                <w:lang w:eastAsia="en-GB"/>
              </w:rPr>
            </w:pPr>
          </w:p>
        </w:tc>
      </w:tr>
      <w:tr w:rsidR="00A7112F" w:rsidRPr="00A30073" w14:paraId="4CACBAC7" w14:textId="77777777" w:rsidTr="00A7112F">
        <w:trPr>
          <w:trHeight w:val="424"/>
        </w:trPr>
        <w:tc>
          <w:tcPr>
            <w:tcW w:w="5324" w:type="dxa"/>
            <w:gridSpan w:val="2"/>
            <w:tcBorders>
              <w:top w:val="nil"/>
              <w:left w:val="nil"/>
              <w:bottom w:val="nil"/>
              <w:right w:val="nil"/>
            </w:tcBorders>
            <w:shd w:val="clear" w:color="000000" w:fill="FFFFFF"/>
            <w:noWrap/>
            <w:vAlign w:val="center"/>
          </w:tcPr>
          <w:p w14:paraId="5AEFD95C"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ME </w:t>
            </w:r>
          </w:p>
        </w:tc>
        <w:tc>
          <w:tcPr>
            <w:tcW w:w="3662" w:type="dxa"/>
            <w:tcBorders>
              <w:top w:val="nil"/>
              <w:left w:val="nil"/>
              <w:bottom w:val="nil"/>
              <w:right w:val="nil"/>
            </w:tcBorders>
            <w:shd w:val="clear" w:color="000000" w:fill="FFFFFF"/>
            <w:noWrap/>
            <w:vAlign w:val="center"/>
          </w:tcPr>
          <w:p w14:paraId="3E729436"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0.001</w:t>
            </w:r>
          </w:p>
        </w:tc>
      </w:tr>
      <w:tr w:rsidR="00A7112F" w:rsidRPr="00A30073" w14:paraId="38E96D48" w14:textId="77777777" w:rsidTr="00A7112F">
        <w:trPr>
          <w:trHeight w:val="424"/>
        </w:trPr>
        <w:tc>
          <w:tcPr>
            <w:tcW w:w="5324" w:type="dxa"/>
            <w:gridSpan w:val="2"/>
            <w:tcBorders>
              <w:top w:val="nil"/>
              <w:left w:val="nil"/>
              <w:bottom w:val="nil"/>
              <w:right w:val="nil"/>
            </w:tcBorders>
            <w:shd w:val="clear" w:color="000000" w:fill="FFFFFF"/>
            <w:noWrap/>
            <w:vAlign w:val="center"/>
          </w:tcPr>
          <w:p w14:paraId="198631FF" w14:textId="77777777" w:rsidR="00A7112F" w:rsidRPr="00A30073" w:rsidRDefault="00A7112F" w:rsidP="00A7112F">
            <w:pPr>
              <w:spacing w:after="0" w:line="240" w:lineRule="auto"/>
              <w:rPr>
                <w:rFonts w:cstheme="minorHAnsi"/>
                <w:b/>
                <w:bCs/>
                <w:lang w:eastAsia="en-GB"/>
              </w:rPr>
            </w:pPr>
            <w:r w:rsidRPr="00A30073">
              <w:rPr>
                <w:rFonts w:cstheme="minorHAnsi"/>
                <w:b/>
                <w:bCs/>
                <w:lang w:eastAsia="en-GB"/>
              </w:rPr>
              <w:t>BASELINE CATARACT</w:t>
            </w:r>
          </w:p>
        </w:tc>
        <w:tc>
          <w:tcPr>
            <w:tcW w:w="3662" w:type="dxa"/>
            <w:tcBorders>
              <w:top w:val="nil"/>
              <w:left w:val="nil"/>
              <w:bottom w:val="nil"/>
              <w:right w:val="nil"/>
            </w:tcBorders>
            <w:shd w:val="clear" w:color="000000" w:fill="FFFFFF"/>
            <w:noWrap/>
            <w:vAlign w:val="center"/>
          </w:tcPr>
          <w:p w14:paraId="4C38C4F9" w14:textId="77777777" w:rsidR="00A7112F" w:rsidRPr="00A30073" w:rsidRDefault="00A7112F" w:rsidP="00A7112F">
            <w:pPr>
              <w:spacing w:after="0" w:line="240" w:lineRule="auto"/>
              <w:jc w:val="center"/>
              <w:rPr>
                <w:rFonts w:cstheme="minorHAnsi"/>
                <w:lang w:eastAsia="en-GB"/>
              </w:rPr>
            </w:pPr>
          </w:p>
        </w:tc>
      </w:tr>
      <w:tr w:rsidR="00A7112F" w:rsidRPr="00A30073" w14:paraId="20AA1BB7" w14:textId="77777777" w:rsidTr="00A7112F">
        <w:trPr>
          <w:trHeight w:val="424"/>
        </w:trPr>
        <w:tc>
          <w:tcPr>
            <w:tcW w:w="5324" w:type="dxa"/>
            <w:gridSpan w:val="2"/>
            <w:tcBorders>
              <w:top w:val="nil"/>
              <w:left w:val="nil"/>
              <w:bottom w:val="nil"/>
              <w:right w:val="nil"/>
            </w:tcBorders>
            <w:shd w:val="clear" w:color="000000" w:fill="FFFFFF"/>
            <w:noWrap/>
            <w:vAlign w:val="center"/>
          </w:tcPr>
          <w:p w14:paraId="6E12416A"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cataract </w:t>
            </w:r>
          </w:p>
        </w:tc>
        <w:tc>
          <w:tcPr>
            <w:tcW w:w="3662" w:type="dxa"/>
            <w:tcBorders>
              <w:top w:val="nil"/>
              <w:left w:val="nil"/>
              <w:bottom w:val="nil"/>
              <w:right w:val="nil"/>
            </w:tcBorders>
            <w:shd w:val="clear" w:color="000000" w:fill="FFFFFF"/>
            <w:noWrap/>
            <w:vAlign w:val="center"/>
          </w:tcPr>
          <w:p w14:paraId="4D646CAE"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0.058</w:t>
            </w:r>
          </w:p>
        </w:tc>
      </w:tr>
      <w:tr w:rsidR="00A7112F" w:rsidRPr="00A30073" w14:paraId="10396CC4" w14:textId="77777777" w:rsidTr="00A7112F">
        <w:trPr>
          <w:trHeight w:val="424"/>
        </w:trPr>
        <w:tc>
          <w:tcPr>
            <w:tcW w:w="5324" w:type="dxa"/>
            <w:gridSpan w:val="2"/>
            <w:tcBorders>
              <w:top w:val="nil"/>
              <w:left w:val="nil"/>
              <w:bottom w:val="nil"/>
              <w:right w:val="nil"/>
            </w:tcBorders>
            <w:shd w:val="clear" w:color="000000" w:fill="FFFFFF"/>
            <w:noWrap/>
            <w:vAlign w:val="center"/>
          </w:tcPr>
          <w:p w14:paraId="38F6006A" w14:textId="77777777" w:rsidR="00A7112F" w:rsidRPr="00A30073" w:rsidRDefault="00A7112F" w:rsidP="00A7112F">
            <w:pPr>
              <w:spacing w:after="0" w:line="240" w:lineRule="auto"/>
              <w:rPr>
                <w:rFonts w:cstheme="minorHAnsi"/>
                <w:b/>
                <w:bCs/>
                <w:lang w:eastAsia="en-GB"/>
              </w:rPr>
            </w:pPr>
            <w:r w:rsidRPr="00A30073">
              <w:rPr>
                <w:rFonts w:cstheme="minorHAnsi"/>
                <w:b/>
                <w:bCs/>
                <w:lang w:eastAsia="en-GB"/>
              </w:rPr>
              <w:t>BASELINE NEUROPATHY</w:t>
            </w:r>
          </w:p>
        </w:tc>
        <w:tc>
          <w:tcPr>
            <w:tcW w:w="3662" w:type="dxa"/>
            <w:tcBorders>
              <w:top w:val="nil"/>
              <w:left w:val="nil"/>
              <w:bottom w:val="nil"/>
              <w:right w:val="nil"/>
            </w:tcBorders>
            <w:shd w:val="clear" w:color="000000" w:fill="FFFFFF"/>
            <w:noWrap/>
            <w:vAlign w:val="center"/>
          </w:tcPr>
          <w:p w14:paraId="507AC08B" w14:textId="77777777" w:rsidR="00A7112F" w:rsidRPr="00A30073" w:rsidRDefault="00A7112F" w:rsidP="00A7112F">
            <w:pPr>
              <w:spacing w:after="0" w:line="240" w:lineRule="auto"/>
              <w:rPr>
                <w:rFonts w:cstheme="minorHAnsi"/>
                <w:lang w:eastAsia="en-GB"/>
              </w:rPr>
            </w:pPr>
            <w:r w:rsidRPr="00A30073">
              <w:rPr>
                <w:rFonts w:cstheme="minorHAnsi"/>
                <w:lang w:eastAsia="en-GB"/>
              </w:rPr>
              <w:t> </w:t>
            </w:r>
          </w:p>
        </w:tc>
      </w:tr>
      <w:tr w:rsidR="00A7112F" w:rsidRPr="00A30073" w14:paraId="391EFF06" w14:textId="77777777" w:rsidTr="00AE5D70">
        <w:trPr>
          <w:trHeight w:val="424"/>
        </w:trPr>
        <w:tc>
          <w:tcPr>
            <w:tcW w:w="5324" w:type="dxa"/>
            <w:gridSpan w:val="2"/>
            <w:tcBorders>
              <w:top w:val="nil"/>
              <w:left w:val="nil"/>
              <w:bottom w:val="single" w:sz="12" w:space="0" w:color="auto"/>
              <w:right w:val="nil"/>
            </w:tcBorders>
            <w:shd w:val="clear" w:color="000000" w:fill="FFFFFF"/>
            <w:noWrap/>
            <w:vAlign w:val="center"/>
          </w:tcPr>
          <w:p w14:paraId="060E4DA2" w14:textId="77777777" w:rsidR="00A7112F" w:rsidRPr="00A30073" w:rsidRDefault="00A7112F" w:rsidP="00A7112F">
            <w:pPr>
              <w:spacing w:after="0" w:line="240" w:lineRule="auto"/>
              <w:rPr>
                <w:rFonts w:cstheme="minorHAnsi"/>
                <w:lang w:eastAsia="en-GB"/>
              </w:rPr>
            </w:pPr>
            <w:r w:rsidRPr="00A30073">
              <w:rPr>
                <w:rFonts w:cstheme="minorHAnsi"/>
                <w:lang w:eastAsia="en-GB"/>
              </w:rPr>
              <w:t xml:space="preserve">Prop. neuropathy </w:t>
            </w:r>
          </w:p>
        </w:tc>
        <w:tc>
          <w:tcPr>
            <w:tcW w:w="3662" w:type="dxa"/>
            <w:tcBorders>
              <w:top w:val="nil"/>
              <w:left w:val="nil"/>
              <w:bottom w:val="single" w:sz="12" w:space="0" w:color="auto"/>
              <w:right w:val="nil"/>
            </w:tcBorders>
            <w:shd w:val="clear" w:color="000000" w:fill="FFFFFF"/>
            <w:noWrap/>
            <w:vAlign w:val="center"/>
          </w:tcPr>
          <w:p w14:paraId="6DC4FCB1" w14:textId="77777777" w:rsidR="00A7112F" w:rsidRPr="00A30073" w:rsidRDefault="00A7112F" w:rsidP="00A7112F">
            <w:pPr>
              <w:spacing w:after="0" w:line="240" w:lineRule="auto"/>
              <w:jc w:val="center"/>
              <w:rPr>
                <w:rFonts w:cstheme="minorHAnsi"/>
                <w:lang w:eastAsia="en-GB"/>
              </w:rPr>
            </w:pPr>
            <w:r w:rsidRPr="00A30073">
              <w:rPr>
                <w:rFonts w:cstheme="minorHAnsi"/>
                <w:lang w:eastAsia="en-GB"/>
              </w:rPr>
              <w:t>0.082</w:t>
            </w:r>
          </w:p>
        </w:tc>
      </w:tr>
    </w:tbl>
    <w:p w14:paraId="752A523B" w14:textId="5C5ADE64" w:rsidR="00DF136B" w:rsidRPr="00A30073" w:rsidRDefault="00DF136B" w:rsidP="00372F33">
      <w:pPr>
        <w:spacing w:after="0"/>
        <w:jc w:val="both"/>
        <w:rPr>
          <w:sz w:val="18"/>
          <w:szCs w:val="18"/>
        </w:rPr>
      </w:pPr>
      <w:r w:rsidRPr="00A30073">
        <w:rPr>
          <w:sz w:val="18"/>
          <w:szCs w:val="18"/>
        </w:rPr>
        <w:t>Source: Clinical Trial Report</w:t>
      </w:r>
      <w:r w:rsidR="006D0CC2" w:rsidRPr="00A30073">
        <w:rPr>
          <w:sz w:val="18"/>
          <w:szCs w:val="18"/>
        </w:rPr>
        <w:t xml:space="preserve"> (1)</w:t>
      </w:r>
    </w:p>
    <w:p w14:paraId="73A1A574" w14:textId="399E4187" w:rsidR="006D0CC2" w:rsidRPr="00A30073" w:rsidRDefault="007B74D1" w:rsidP="007B74D1">
      <w:pPr>
        <w:jc w:val="both"/>
        <w:rPr>
          <w:sz w:val="18"/>
          <w:szCs w:val="18"/>
        </w:rPr>
      </w:pPr>
      <w:r w:rsidRPr="00A30073">
        <w:rPr>
          <w:sz w:val="18"/>
          <w:szCs w:val="18"/>
        </w:rPr>
        <w:t>SE: standard error; SBP: systolic blood pressure; DBP: diastolic blood pressure; T-Chol: total cholesterol; HDL: high density lipoprotein; LDL: low density lipoprotein; TRIG: triglycerides; BMI: body mass index; WBC: white blood cells; uACR: urinary albumin/creatinine ratio</w:t>
      </w:r>
      <w:r w:rsidR="00EE1B5E" w:rsidRPr="00A30073">
        <w:rPr>
          <w:sz w:val="18"/>
          <w:szCs w:val="18"/>
        </w:rPr>
        <w:t>; MI: myocardial infarction; PVD: peripheral vascular disease; HF: heart failure; LVH: left ventricular hypertrophy; MA: microalbuminuria; GRP: Gross renal proteinuria; ESRD: end-stage renal disease; BDR: background diabetic retinopathy; PDR: proliferative diabetic retinopathy; SVL: severe vision loss; ME: macular edema</w:t>
      </w:r>
    </w:p>
    <w:p w14:paraId="07449CE8" w14:textId="77777777" w:rsidR="006D0CC2" w:rsidRPr="00A30073" w:rsidRDefault="006D0CC2">
      <w:pPr>
        <w:rPr>
          <w:sz w:val="18"/>
          <w:szCs w:val="18"/>
        </w:rPr>
      </w:pPr>
      <w:r w:rsidRPr="00A30073">
        <w:rPr>
          <w:sz w:val="18"/>
          <w:szCs w:val="18"/>
        </w:rPr>
        <w:br w:type="page"/>
      </w:r>
    </w:p>
    <w:p w14:paraId="1B555572" w14:textId="6E4420FB" w:rsidR="00417151" w:rsidRPr="00A30073" w:rsidRDefault="006D0CC2" w:rsidP="006D0CC2">
      <w:pPr>
        <w:pStyle w:val="Heading2"/>
        <w:numPr>
          <w:ilvl w:val="0"/>
          <w:numId w:val="1"/>
        </w:numPr>
        <w:rPr>
          <w:color w:val="auto"/>
        </w:rPr>
      </w:pPr>
      <w:r w:rsidRPr="00A30073">
        <w:rPr>
          <w:color w:val="auto"/>
        </w:rPr>
        <w:lastRenderedPageBreak/>
        <w:t xml:space="preserve">Utility data </w:t>
      </w:r>
    </w:p>
    <w:p w14:paraId="690D4F3B" w14:textId="23C019BD" w:rsidR="006D0CC2" w:rsidRPr="00A30073" w:rsidRDefault="006D0CC2" w:rsidP="006D0CC2">
      <w:pPr>
        <w:rPr>
          <w:b/>
          <w:bCs/>
          <w:lang w:val="en-US"/>
        </w:rPr>
      </w:pPr>
      <w:r w:rsidRPr="00A30073">
        <w:rPr>
          <w:b/>
          <w:bCs/>
          <w:lang w:val="en-US"/>
        </w:rPr>
        <w:t>Table S2 : Utility data of health state and disutility associated to events</w:t>
      </w:r>
    </w:p>
    <w:tbl>
      <w:tblPr>
        <w:tblStyle w:val="Scientific"/>
        <w:tblW w:w="5000" w:type="pct"/>
        <w:tblLayout w:type="fixed"/>
        <w:tblLook w:val="04A0" w:firstRow="1" w:lastRow="0" w:firstColumn="1" w:lastColumn="0" w:noHBand="0" w:noVBand="1"/>
      </w:tblPr>
      <w:tblGrid>
        <w:gridCol w:w="3918"/>
        <w:gridCol w:w="998"/>
        <w:gridCol w:w="1899"/>
        <w:gridCol w:w="2211"/>
      </w:tblGrid>
      <w:tr w:rsidR="00AE5D70" w:rsidRPr="00A30073" w14:paraId="5AD96AD0" w14:textId="77777777" w:rsidTr="00002C40">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3EA573B5" w14:textId="77777777" w:rsidR="00AE5D70" w:rsidRPr="00A30073" w:rsidRDefault="00AE5D70" w:rsidP="00AE5D70">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Variable</w:t>
            </w:r>
          </w:p>
        </w:tc>
        <w:tc>
          <w:tcPr>
            <w:tcW w:w="553" w:type="pct"/>
            <w:noWrap/>
            <w:vAlign w:val="top"/>
            <w:hideMark/>
          </w:tcPr>
          <w:p w14:paraId="6C54C875" w14:textId="42CDF79A" w:rsidR="00AE5D70" w:rsidRPr="00A30073" w:rsidRDefault="00AE5D70" w:rsidP="00AE5D7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eastAsia="en-GB"/>
              </w:rPr>
              <w:t>Mean</w:t>
            </w:r>
            <w:r w:rsidRPr="00A30073">
              <w:rPr>
                <w:rFonts w:asciiTheme="minorHAnsi" w:hAnsiTheme="minorHAnsi" w:cstheme="minorHAnsi"/>
                <w:color w:val="000000"/>
                <w:sz w:val="22"/>
                <w:szCs w:val="22"/>
                <w:lang w:val="en-GB" w:eastAsia="en-GB"/>
              </w:rPr>
              <w:t xml:space="preserve"> values</w:t>
            </w:r>
          </w:p>
        </w:tc>
        <w:tc>
          <w:tcPr>
            <w:tcW w:w="1052" w:type="pct"/>
          </w:tcPr>
          <w:p w14:paraId="05A5DE48" w14:textId="76C2B39D" w:rsidR="00AE5D70" w:rsidRPr="00A30073" w:rsidRDefault="00AE5D70" w:rsidP="00AE5D7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SD</w:t>
            </w:r>
          </w:p>
        </w:tc>
        <w:tc>
          <w:tcPr>
            <w:tcW w:w="1225" w:type="pct"/>
            <w:noWrap/>
            <w:vAlign w:val="top"/>
            <w:hideMark/>
          </w:tcPr>
          <w:p w14:paraId="0B9B2B51" w14:textId="7F01DDC6" w:rsidR="00AE5D70" w:rsidRPr="00A30073" w:rsidRDefault="00AE5D70" w:rsidP="00AE5D70">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Reference</w:t>
            </w:r>
          </w:p>
        </w:tc>
      </w:tr>
      <w:tr w:rsidR="00AE5D70" w:rsidRPr="00A30073" w14:paraId="4DB0FEAD"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61E383BA" w14:textId="77777777" w:rsidR="00AE5D70" w:rsidRPr="00A30073" w:rsidRDefault="00AE5D70" w:rsidP="00AE5D70">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T2 no complications </w:t>
            </w:r>
          </w:p>
        </w:tc>
        <w:tc>
          <w:tcPr>
            <w:tcW w:w="553" w:type="pct"/>
            <w:noWrap/>
            <w:vAlign w:val="top"/>
            <w:hideMark/>
          </w:tcPr>
          <w:p w14:paraId="7041726D" w14:textId="77777777" w:rsidR="00AE5D70" w:rsidRPr="00A30073" w:rsidRDefault="00AE5D7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0.876</w:t>
            </w:r>
          </w:p>
        </w:tc>
        <w:tc>
          <w:tcPr>
            <w:tcW w:w="1052" w:type="pct"/>
          </w:tcPr>
          <w:p w14:paraId="779BB5A8" w14:textId="1A0DD09E" w:rsidR="00AE5D70" w:rsidRPr="00A30073" w:rsidRDefault="00AE5D7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0.0531</w:t>
            </w:r>
          </w:p>
        </w:tc>
        <w:tc>
          <w:tcPr>
            <w:tcW w:w="1225" w:type="pct"/>
            <w:noWrap/>
            <w:vAlign w:val="top"/>
            <w:hideMark/>
          </w:tcPr>
          <w:p w14:paraId="19CFA31B" w14:textId="474D329E" w:rsidR="00AE5D70" w:rsidRPr="00A30073" w:rsidRDefault="00AE5D7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r w:rsidRPr="00A30073">
              <w:rPr>
                <w:rFonts w:asciiTheme="minorHAnsi" w:hAnsiTheme="minorHAnsi" w:cstheme="minorHAnsi"/>
                <w:color w:val="000000"/>
                <w:sz w:val="22"/>
                <w:szCs w:val="22"/>
                <w:lang w:val="fr-BE" w:eastAsia="en-GB"/>
              </w:rPr>
              <w:t xml:space="preserve">Li et al 2018 </w:t>
            </w:r>
            <w:r w:rsidRPr="00A30073">
              <w:rPr>
                <w:rFonts w:cstheme="minorHAnsi"/>
                <w:color w:val="000000"/>
                <w:lang w:val="fr-BE" w:eastAsia="en-GB"/>
              </w:rPr>
              <w:fldChar w:fldCharType="begin"/>
            </w:r>
            <w:r w:rsidRPr="00A30073">
              <w:rPr>
                <w:rFonts w:asciiTheme="minorHAnsi" w:hAnsiTheme="minorHAnsi" w:cstheme="minorHAnsi"/>
                <w:color w:val="000000"/>
                <w:sz w:val="22"/>
                <w:szCs w:val="22"/>
                <w:lang w:val="fr-BE" w:eastAsia="en-GB"/>
              </w:rPr>
              <w:instrText xml:space="preserve"> ADDIN EN.CITE &lt;EndNote&gt;&lt;Cite&gt;&lt;Author&gt;Li&lt;/Author&gt;&lt;Year&gt;2018&lt;/Year&gt;&lt;RecNum&gt;503&lt;/RecNum&gt;&lt;DisplayText&gt;(1)&lt;/DisplayText&gt;&lt;record&gt;&lt;rec-number&gt;503&lt;/rec-number&gt;&lt;foreign-keys&gt;&lt;key app="EN" db-id="x00avpz24e2sr7et29mv9tejtfp0pefaadrf" timestamp="1549554162"&gt;503&lt;/key&gt;&lt;/foreign-keys&gt;&lt;ref-type name="Journal Article"&gt;17&lt;/ref-type&gt;&lt;contributors&gt;&lt;authors&gt;&lt;author&gt;Li, T.&lt;/author&gt;&lt;author&gt;Wan, X.&lt;/author&gt;&lt;author&gt;Ma, J.&lt;/author&gt;&lt;author&gt;Wu, B.&lt;/author&gt;&lt;/authors&gt;&lt;/contributors&gt;&lt;auth-address&gt;Department of Pharmacy, Fuwai Yunnan Cardiovascular Hospital, Affiliated with the Kunming Medical University, Kunming, China.&amp;#xD;Department of Pharmacy, Ren Ji Hospital, South Campus, School of Medicine, Shanghai Jiaotong University, Shanghai, China.&amp;#xD;Department of Endocrinology, Ren Ji Hospital, School of Medicine, Shanghai Jiaotong University, Shanghai, China.&amp;#xD;Department of Pharmacy, Ren Ji Hospital, South Campus, School of Medicine, Shanghai Jiaotong University, Shanghai, China. wbwithtg@yahoo.com.&lt;/auth-address&gt;&lt;titles&gt;&lt;title&gt;Cost-Effectiveness of Primary Prevention with Statin Treatment for Chinese Patients with Type 2 Diabetes&lt;/title&gt;&lt;secondary-title&gt;Adv Ther&lt;/secondary-title&gt;&lt;/titles&gt;&lt;periodical&gt;&lt;full-title&gt;Adv Ther&lt;/full-title&gt;&lt;/periodical&gt;&lt;pages&gt;2214-2223&lt;/pages&gt;&lt;volume&gt;35&lt;/volume&gt;&lt;number&gt;12&lt;/number&gt;&lt;edition&gt;2018/11/06&lt;/edition&gt;&lt;keywords&gt;&lt;keyword&gt;Chinese setting&lt;/keyword&gt;&lt;keyword&gt;Cost-effectiveness&lt;/keyword&gt;&lt;keyword&gt;Diabetes&lt;/keyword&gt;&lt;keyword&gt;Statin treatment&lt;/keyword&gt;&lt;keyword&gt;Type 2 diabetes&lt;/keyword&gt;&lt;/keywords&gt;&lt;dates&gt;&lt;year&gt;2018&lt;/year&gt;&lt;pub-dates&gt;&lt;date&gt;Dec&lt;/date&gt;&lt;/pub-dates&gt;&lt;/dates&gt;&lt;isbn&gt;1865-8652 (Electronic)&amp;#xD;0741-238X (Linking)&lt;/isbn&gt;&lt;accession-num&gt;30390239&lt;/accession-num&gt;&lt;urls&gt;&lt;related-urls&gt;&lt;url&gt;https://www.ncbi.nlm.nih.gov/pubmed/30390239&lt;/url&gt;&lt;/related-urls&gt;&lt;/urls&gt;&lt;electronic-resource-num&gt;10.1007/s12325-018-0823-9&lt;/electronic-resource-num&gt;&lt;/record&gt;&lt;/Cite&gt;&lt;/EndNote&gt;</w:instrText>
            </w:r>
            <w:r w:rsidRPr="00A30073">
              <w:rPr>
                <w:rFonts w:cstheme="minorHAnsi"/>
                <w:color w:val="000000"/>
                <w:lang w:val="fr-BE" w:eastAsia="en-GB"/>
              </w:rPr>
              <w:fldChar w:fldCharType="separate"/>
            </w:r>
            <w:r w:rsidRPr="00A30073">
              <w:rPr>
                <w:rFonts w:asciiTheme="minorHAnsi" w:hAnsiTheme="minorHAnsi" w:cstheme="minorHAnsi"/>
                <w:noProof/>
                <w:color w:val="000000"/>
                <w:sz w:val="22"/>
                <w:szCs w:val="22"/>
                <w:lang w:val="fr-BE" w:eastAsia="en-GB"/>
              </w:rPr>
              <w:t>(1)</w:t>
            </w:r>
            <w:r w:rsidRPr="00A30073">
              <w:rPr>
                <w:rFonts w:cstheme="minorHAnsi"/>
                <w:color w:val="000000"/>
                <w:lang w:val="fr-BE" w:eastAsia="en-GB"/>
              </w:rPr>
              <w:fldChar w:fldCharType="end"/>
            </w:r>
          </w:p>
        </w:tc>
      </w:tr>
      <w:tr w:rsidR="004733FA" w:rsidRPr="00A30073" w14:paraId="6CE2F89F"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tcPr>
          <w:p w14:paraId="1A2711B6" w14:textId="77777777" w:rsidR="004733FA" w:rsidRPr="00A30073" w:rsidRDefault="004733FA" w:rsidP="00AE5D70">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DisU MI event</w:t>
            </w:r>
          </w:p>
        </w:tc>
        <w:tc>
          <w:tcPr>
            <w:tcW w:w="553" w:type="pct"/>
            <w:noWrap/>
            <w:vAlign w:val="top"/>
          </w:tcPr>
          <w:p w14:paraId="67DF24F1" w14:textId="77777777" w:rsidR="004733FA" w:rsidRPr="00A30073" w:rsidRDefault="004733FA"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-0.055</w:t>
            </w:r>
          </w:p>
        </w:tc>
        <w:tc>
          <w:tcPr>
            <w:tcW w:w="1052" w:type="pct"/>
          </w:tcPr>
          <w:p w14:paraId="08AA2665" w14:textId="684B5DA0" w:rsidR="004733FA" w:rsidRPr="00A30073" w:rsidRDefault="004733FA"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0.0066</w:t>
            </w:r>
          </w:p>
        </w:tc>
        <w:tc>
          <w:tcPr>
            <w:tcW w:w="1225" w:type="pct"/>
            <w:vMerge w:val="restart"/>
            <w:noWrap/>
          </w:tcPr>
          <w:p w14:paraId="6DE0CDAD" w14:textId="1A501F6D" w:rsidR="004733FA" w:rsidRPr="00A30073" w:rsidRDefault="004733FA" w:rsidP="009641A2">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r w:rsidRPr="00A30073">
              <w:rPr>
                <w:rFonts w:asciiTheme="minorHAnsi" w:hAnsiTheme="minorHAnsi" w:cstheme="minorHAnsi"/>
                <w:color w:val="000000"/>
                <w:sz w:val="22"/>
                <w:szCs w:val="22"/>
                <w:lang w:val="fr-BE" w:eastAsia="en-GB"/>
              </w:rPr>
              <w:t xml:space="preserve">Beaudet et al 2014 </w:t>
            </w:r>
            <w:r w:rsidRPr="00A30073">
              <w:rPr>
                <w:rFonts w:cstheme="minorHAnsi"/>
                <w:color w:val="000000"/>
                <w:lang w:eastAsia="en-GB"/>
              </w:rPr>
              <w:fldChar w:fldCharType="begin"/>
            </w:r>
            <w:r w:rsidRPr="00A30073">
              <w:rPr>
                <w:rFonts w:asciiTheme="minorHAnsi" w:hAnsiTheme="minorHAnsi" w:cstheme="minorHAnsi"/>
                <w:color w:val="000000"/>
                <w:sz w:val="22"/>
                <w:szCs w:val="22"/>
                <w:lang w:val="en-GB" w:eastAsia="en-GB"/>
              </w:rPr>
              <w:instrText xml:space="preserve"> ADDIN EN.CITE &lt;EndNote&gt;&lt;Cite&gt;&lt;Author&gt;Beaudet&lt;/Author&gt;&lt;Year&gt;2014&lt;/Year&gt;&lt;RecNum&gt;324&lt;/RecNum&gt;&lt;DisplayText&gt;(2)&lt;/DisplayText&gt;&lt;record&gt;&lt;rec-number&gt;324&lt;/rec-number&gt;&lt;foreign-keys&gt;&lt;key app="EN" db-id="x00avpz24e2sr7et29mv9tejtfp0pefaadrf" timestamp="1544120608"&gt;324&lt;/key&gt;&lt;/foreign-keys&gt;&lt;ref-type name="Journal Article"&gt;17&lt;/ref-type&gt;&lt;contributors&gt;&lt;authors&gt;&lt;author&gt;Beaudet, A.&lt;/author&gt;&lt;author&gt;Clegg, J.&lt;/author&gt;&lt;author&gt;Thuresson, P. O.&lt;/author&gt;&lt;author&gt;Lloyd, A.&lt;/author&gt;&lt;author&gt;McEwan, P.&lt;/author&gt;&lt;/authors&gt;&lt;/contributors&gt;&lt;auth-address&gt;IMS Health, Basel, Switzerland. Electronic address: abeaudet@ch.imshealth.com.&amp;#xD;IMS Health, Basel, Switzerland.&amp;#xD;IMS Health, London, UK.&amp;#xD;Centre for Health Economics, Swansea University, Swansea, UK.&lt;/auth-address&gt;&lt;titles&gt;&lt;title&gt;Review of utility values for economic modeling in type 2 diabetes&lt;/title&gt;&lt;secondary-title&gt;Value Health&lt;/secondary-title&gt;&lt;/titles&gt;&lt;periodical&gt;&lt;full-title&gt;Value Health&lt;/full-title&gt;&lt;/periodical&gt;&lt;pages&gt;462-70&lt;/pages&gt;&lt;volume&gt;17&lt;/volume&gt;&lt;number&gt;4&lt;/number&gt;&lt;edition&gt;2014/06/28&lt;/edition&gt;&lt;keywords&gt;&lt;keyword&gt;Cost-Benefit Analysis&lt;/keyword&gt;&lt;keyword&gt;Diabetes Complications/*economics&lt;/keyword&gt;&lt;keyword&gt;Diabetes Mellitus, Type 2/*economics&lt;/keyword&gt;&lt;keyword&gt;Health Status&lt;/keyword&gt;&lt;keyword&gt;Humans&lt;/keyword&gt;&lt;keyword&gt;*Models, Economic&lt;/keyword&gt;&lt;keyword&gt;*Quality of Life&lt;/keyword&gt;&lt;keyword&gt;Eq-5d&lt;/keyword&gt;&lt;keyword&gt;diabetes&lt;/keyword&gt;&lt;keyword&gt;quality of life&lt;/keyword&gt;&lt;keyword&gt;systematic review&lt;/keyword&gt;&lt;keyword&gt;utility&lt;/keyword&gt;&lt;/keywords&gt;&lt;dates&gt;&lt;year&gt;2014&lt;/year&gt;&lt;pub-dates&gt;&lt;date&gt;Jun&lt;/date&gt;&lt;/pub-dates&gt;&lt;/dates&gt;&lt;isbn&gt;1524-4733 (Electronic)&amp;#xD;1098-3015 (Linking)&lt;/isbn&gt;&lt;accession-num&gt;24969008&lt;/accession-num&gt;&lt;urls&gt;&lt;related-urls&gt;&lt;url&gt;https://www.ncbi.nlm.nih.gov/pubmed/24969008&lt;/url&gt;&lt;/related-urls&gt;&lt;/urls&gt;&lt;electronic-resource-num&gt;10.1016/j.jval.2014.03.003&lt;/electronic-resource-num&gt;&lt;/record&gt;&lt;/Cite&gt;&lt;/EndNote&gt;</w:instrText>
            </w:r>
            <w:r w:rsidRPr="00A30073">
              <w:rPr>
                <w:rFonts w:cstheme="minorHAnsi"/>
                <w:color w:val="000000"/>
                <w:lang w:eastAsia="en-GB"/>
              </w:rPr>
              <w:fldChar w:fldCharType="separate"/>
            </w:r>
            <w:r w:rsidRPr="00A30073">
              <w:rPr>
                <w:rFonts w:asciiTheme="minorHAnsi" w:hAnsiTheme="minorHAnsi" w:cstheme="minorHAnsi"/>
                <w:noProof/>
                <w:color w:val="000000"/>
                <w:sz w:val="22"/>
                <w:szCs w:val="22"/>
                <w:lang w:val="en-GB" w:eastAsia="en-GB"/>
              </w:rPr>
              <w:t>(2)</w:t>
            </w:r>
            <w:r w:rsidRPr="00A30073">
              <w:rPr>
                <w:rFonts w:cstheme="minorHAnsi"/>
                <w:color w:val="000000"/>
                <w:lang w:eastAsia="en-GB"/>
              </w:rPr>
              <w:fldChar w:fldCharType="end"/>
            </w:r>
          </w:p>
          <w:p w14:paraId="7A099916" w14:textId="5D6EA29D" w:rsidR="004733FA" w:rsidRPr="00A30073" w:rsidRDefault="004733FA" w:rsidP="004733F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US" w:eastAsia="en-GB"/>
              </w:rPr>
            </w:pPr>
          </w:p>
          <w:p w14:paraId="769929BC" w14:textId="062CE385"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US" w:eastAsia="en-GB"/>
              </w:rPr>
            </w:pPr>
          </w:p>
        </w:tc>
      </w:tr>
      <w:tr w:rsidR="004733FA" w:rsidRPr="00A30073" w14:paraId="2ABB83CA"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5A68D82F" w14:textId="77777777" w:rsidR="004733FA" w:rsidRPr="00A30073" w:rsidRDefault="004733FA" w:rsidP="00AE5D70">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post MI </w:t>
            </w:r>
          </w:p>
        </w:tc>
        <w:tc>
          <w:tcPr>
            <w:tcW w:w="553" w:type="pct"/>
            <w:noWrap/>
            <w:vAlign w:val="top"/>
            <w:hideMark/>
          </w:tcPr>
          <w:p w14:paraId="033A56A0" w14:textId="77777777" w:rsidR="004733FA" w:rsidRPr="00A30073" w:rsidRDefault="004733FA"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0.821</w:t>
            </w:r>
          </w:p>
        </w:tc>
        <w:tc>
          <w:tcPr>
            <w:tcW w:w="1052" w:type="pct"/>
          </w:tcPr>
          <w:p w14:paraId="5E379929" w14:textId="2D439799" w:rsidR="004733FA" w:rsidRPr="00A30073" w:rsidRDefault="004733FA"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0.0066</w:t>
            </w:r>
          </w:p>
        </w:tc>
        <w:tc>
          <w:tcPr>
            <w:tcW w:w="1225" w:type="pct"/>
            <w:vMerge/>
            <w:noWrap/>
            <w:vAlign w:val="top"/>
            <w:hideMark/>
          </w:tcPr>
          <w:p w14:paraId="7019D98A" w14:textId="2C9E49A5"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p>
        </w:tc>
      </w:tr>
      <w:tr w:rsidR="004733FA" w:rsidRPr="00A30073" w14:paraId="3E753581"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3DB05F20"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angina </w:t>
            </w:r>
          </w:p>
        </w:tc>
        <w:tc>
          <w:tcPr>
            <w:tcW w:w="553" w:type="pct"/>
            <w:noWrap/>
            <w:vAlign w:val="top"/>
            <w:hideMark/>
          </w:tcPr>
          <w:p w14:paraId="323E1941"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0.786</w:t>
            </w:r>
          </w:p>
        </w:tc>
        <w:tc>
          <w:tcPr>
            <w:tcW w:w="1052" w:type="pct"/>
          </w:tcPr>
          <w:p w14:paraId="5CA46685" w14:textId="14B150B4"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0.0184</w:t>
            </w:r>
          </w:p>
        </w:tc>
        <w:tc>
          <w:tcPr>
            <w:tcW w:w="1225" w:type="pct"/>
            <w:vMerge/>
            <w:noWrap/>
            <w:vAlign w:val="top"/>
            <w:hideMark/>
          </w:tcPr>
          <w:p w14:paraId="135BA929" w14:textId="315A7A1D"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p>
        </w:tc>
      </w:tr>
      <w:tr w:rsidR="004733FA" w:rsidRPr="00A30073" w14:paraId="7A7B4465"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6C9818C6"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heart failure </w:t>
            </w:r>
          </w:p>
        </w:tc>
        <w:tc>
          <w:tcPr>
            <w:tcW w:w="553" w:type="pct"/>
            <w:noWrap/>
            <w:vAlign w:val="top"/>
            <w:hideMark/>
          </w:tcPr>
          <w:p w14:paraId="21FB664F"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0.768</w:t>
            </w:r>
          </w:p>
        </w:tc>
        <w:tc>
          <w:tcPr>
            <w:tcW w:w="1052" w:type="pct"/>
          </w:tcPr>
          <w:p w14:paraId="3C64673B" w14:textId="5DA411F1"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0.0301</w:t>
            </w:r>
          </w:p>
        </w:tc>
        <w:tc>
          <w:tcPr>
            <w:tcW w:w="1225" w:type="pct"/>
            <w:vMerge/>
            <w:noWrap/>
            <w:vAlign w:val="top"/>
            <w:hideMark/>
          </w:tcPr>
          <w:p w14:paraId="44909A46" w14:textId="1A859A6D"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p>
        </w:tc>
      </w:tr>
      <w:tr w:rsidR="004733FA" w:rsidRPr="00A30073" w14:paraId="3C059DF0"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tcPr>
          <w:p w14:paraId="65FBD624"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DisU stroke event</w:t>
            </w:r>
          </w:p>
        </w:tc>
        <w:tc>
          <w:tcPr>
            <w:tcW w:w="553" w:type="pct"/>
            <w:noWrap/>
            <w:vAlign w:val="top"/>
          </w:tcPr>
          <w:p w14:paraId="0953223C"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-0.164</w:t>
            </w:r>
          </w:p>
        </w:tc>
        <w:tc>
          <w:tcPr>
            <w:tcW w:w="1052" w:type="pct"/>
          </w:tcPr>
          <w:p w14:paraId="0D35A595" w14:textId="31372F3B"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0.0301</w:t>
            </w:r>
          </w:p>
        </w:tc>
        <w:tc>
          <w:tcPr>
            <w:tcW w:w="1225" w:type="pct"/>
            <w:vMerge/>
            <w:noWrap/>
            <w:vAlign w:val="top"/>
          </w:tcPr>
          <w:p w14:paraId="555514A3" w14:textId="304F6920"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p>
        </w:tc>
      </w:tr>
      <w:tr w:rsidR="004733FA" w:rsidRPr="00A30073" w14:paraId="1AE1781E"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3E88C92B"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post Stroke </w:t>
            </w:r>
          </w:p>
        </w:tc>
        <w:tc>
          <w:tcPr>
            <w:tcW w:w="553" w:type="pct"/>
            <w:noWrap/>
            <w:vAlign w:val="top"/>
            <w:hideMark/>
          </w:tcPr>
          <w:p w14:paraId="209A4D51"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0.712</w:t>
            </w:r>
          </w:p>
        </w:tc>
        <w:tc>
          <w:tcPr>
            <w:tcW w:w="1052" w:type="pct"/>
          </w:tcPr>
          <w:p w14:paraId="3D10F86A" w14:textId="6B1B2213"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0.0301</w:t>
            </w:r>
          </w:p>
        </w:tc>
        <w:tc>
          <w:tcPr>
            <w:tcW w:w="1225" w:type="pct"/>
            <w:vMerge/>
            <w:noWrap/>
            <w:vAlign w:val="top"/>
            <w:hideMark/>
          </w:tcPr>
          <w:p w14:paraId="5A94D5F8" w14:textId="0665354E"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p>
        </w:tc>
      </w:tr>
      <w:tr w:rsidR="004733FA" w:rsidRPr="00A30073" w14:paraId="67F492D8"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75DAD250"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PVD </w:t>
            </w:r>
          </w:p>
        </w:tc>
        <w:tc>
          <w:tcPr>
            <w:tcW w:w="553" w:type="pct"/>
            <w:noWrap/>
            <w:vAlign w:val="top"/>
            <w:hideMark/>
          </w:tcPr>
          <w:p w14:paraId="66C33B20"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0.815</w:t>
            </w:r>
          </w:p>
        </w:tc>
        <w:tc>
          <w:tcPr>
            <w:tcW w:w="1052" w:type="pct"/>
          </w:tcPr>
          <w:p w14:paraId="26E9A549" w14:textId="321BF106"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0.0219</w:t>
            </w:r>
          </w:p>
        </w:tc>
        <w:tc>
          <w:tcPr>
            <w:tcW w:w="1225" w:type="pct"/>
            <w:vMerge/>
            <w:noWrap/>
            <w:vAlign w:val="top"/>
            <w:hideMark/>
          </w:tcPr>
          <w:p w14:paraId="6AC02266" w14:textId="0683AF05"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0F64F51A"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0C1C5499"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U microalbuminuria</w:t>
            </w:r>
          </w:p>
        </w:tc>
        <w:tc>
          <w:tcPr>
            <w:tcW w:w="553" w:type="pct"/>
            <w:noWrap/>
            <w:vAlign w:val="top"/>
            <w:hideMark/>
          </w:tcPr>
          <w:p w14:paraId="35E637F1"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0.876</w:t>
            </w:r>
          </w:p>
        </w:tc>
        <w:tc>
          <w:tcPr>
            <w:tcW w:w="1052" w:type="pct"/>
          </w:tcPr>
          <w:p w14:paraId="72A34CFC" w14:textId="6CD4B608"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0.0531</w:t>
            </w:r>
          </w:p>
        </w:tc>
        <w:tc>
          <w:tcPr>
            <w:tcW w:w="1225" w:type="pct"/>
            <w:vMerge/>
            <w:noWrap/>
            <w:vAlign w:val="top"/>
            <w:hideMark/>
          </w:tcPr>
          <w:p w14:paraId="5BFCE188" w14:textId="3199F8D8"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3DA95889"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1D2F1143"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U macroalbuminuria</w:t>
            </w:r>
          </w:p>
        </w:tc>
        <w:tc>
          <w:tcPr>
            <w:tcW w:w="553" w:type="pct"/>
            <w:noWrap/>
            <w:vAlign w:val="top"/>
            <w:hideMark/>
          </w:tcPr>
          <w:p w14:paraId="31B5EFE9"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0.828</w:t>
            </w:r>
          </w:p>
        </w:tc>
        <w:tc>
          <w:tcPr>
            <w:tcW w:w="1052" w:type="pct"/>
          </w:tcPr>
          <w:p w14:paraId="0BED0472" w14:textId="13ACE323"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0.0219</w:t>
            </w:r>
          </w:p>
        </w:tc>
        <w:tc>
          <w:tcPr>
            <w:tcW w:w="1225" w:type="pct"/>
            <w:vMerge/>
            <w:noWrap/>
            <w:vAlign w:val="top"/>
            <w:hideMark/>
          </w:tcPr>
          <w:p w14:paraId="2BC19CCE" w14:textId="7E5E2675"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2AE0A1FA"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62FCDE52"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HD </w:t>
            </w:r>
          </w:p>
        </w:tc>
        <w:tc>
          <w:tcPr>
            <w:tcW w:w="553" w:type="pct"/>
            <w:noWrap/>
            <w:vAlign w:val="top"/>
            <w:hideMark/>
          </w:tcPr>
          <w:p w14:paraId="19E9D41F"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0.712</w:t>
            </w:r>
          </w:p>
        </w:tc>
        <w:tc>
          <w:tcPr>
            <w:tcW w:w="1052" w:type="pct"/>
          </w:tcPr>
          <w:p w14:paraId="5E96315C" w14:textId="615FB9BD"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0.0561</w:t>
            </w:r>
          </w:p>
        </w:tc>
        <w:tc>
          <w:tcPr>
            <w:tcW w:w="1225" w:type="pct"/>
            <w:vMerge/>
            <w:noWrap/>
            <w:vAlign w:val="top"/>
            <w:hideMark/>
          </w:tcPr>
          <w:p w14:paraId="3A7B650E" w14:textId="0AF61709"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26977DBC"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4568F7D9"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PD </w:t>
            </w:r>
          </w:p>
        </w:tc>
        <w:tc>
          <w:tcPr>
            <w:tcW w:w="553" w:type="pct"/>
            <w:noWrap/>
            <w:vAlign w:val="top"/>
            <w:hideMark/>
          </w:tcPr>
          <w:p w14:paraId="66F9165F"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0.672</w:t>
            </w:r>
          </w:p>
        </w:tc>
        <w:tc>
          <w:tcPr>
            <w:tcW w:w="1052" w:type="pct"/>
          </w:tcPr>
          <w:p w14:paraId="0D13D1F7" w14:textId="342DDC79"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0.1378</w:t>
            </w:r>
          </w:p>
        </w:tc>
        <w:tc>
          <w:tcPr>
            <w:tcW w:w="1225" w:type="pct"/>
            <w:vMerge/>
            <w:noWrap/>
            <w:vAlign w:val="top"/>
            <w:hideMark/>
          </w:tcPr>
          <w:p w14:paraId="7CDC32D8" w14:textId="601EE728"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61199386"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1CBF531D"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RT </w:t>
            </w:r>
          </w:p>
        </w:tc>
        <w:tc>
          <w:tcPr>
            <w:tcW w:w="553" w:type="pct"/>
            <w:noWrap/>
            <w:vAlign w:val="top"/>
            <w:hideMark/>
          </w:tcPr>
          <w:p w14:paraId="72E453C0"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0.762</w:t>
            </w:r>
          </w:p>
        </w:tc>
        <w:tc>
          <w:tcPr>
            <w:tcW w:w="1052" w:type="pct"/>
          </w:tcPr>
          <w:p w14:paraId="30BA677B" w14:textId="13324CAA"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0.0531</w:t>
            </w:r>
          </w:p>
        </w:tc>
        <w:tc>
          <w:tcPr>
            <w:tcW w:w="1225" w:type="pct"/>
            <w:vMerge/>
            <w:noWrap/>
            <w:vAlign w:val="top"/>
            <w:hideMark/>
          </w:tcPr>
          <w:p w14:paraId="3C6DF33F" w14:textId="0C8A6F60"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p>
        </w:tc>
      </w:tr>
      <w:tr w:rsidR="004733FA" w:rsidRPr="00A30073" w14:paraId="0A73E58D"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190EBBF5"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BDR </w:t>
            </w:r>
          </w:p>
        </w:tc>
        <w:tc>
          <w:tcPr>
            <w:tcW w:w="553" w:type="pct"/>
            <w:noWrap/>
            <w:vAlign w:val="top"/>
            <w:hideMark/>
          </w:tcPr>
          <w:p w14:paraId="654D671D"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0.836</w:t>
            </w:r>
          </w:p>
        </w:tc>
        <w:tc>
          <w:tcPr>
            <w:tcW w:w="1052" w:type="pct"/>
          </w:tcPr>
          <w:p w14:paraId="4A91720C" w14:textId="536A71D3"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0.0617</w:t>
            </w:r>
          </w:p>
        </w:tc>
        <w:tc>
          <w:tcPr>
            <w:tcW w:w="1225" w:type="pct"/>
            <w:vMerge/>
            <w:noWrap/>
            <w:vAlign w:val="top"/>
            <w:hideMark/>
          </w:tcPr>
          <w:p w14:paraId="6579BDD1" w14:textId="59808E9F"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6ABC515E"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1B3A17E9"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BDR wrongly treated </w:t>
            </w:r>
          </w:p>
        </w:tc>
        <w:tc>
          <w:tcPr>
            <w:tcW w:w="553" w:type="pct"/>
            <w:noWrap/>
            <w:vAlign w:val="top"/>
            <w:hideMark/>
          </w:tcPr>
          <w:p w14:paraId="1EB3F646"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0.836</w:t>
            </w:r>
          </w:p>
        </w:tc>
        <w:tc>
          <w:tcPr>
            <w:tcW w:w="1052" w:type="pct"/>
          </w:tcPr>
          <w:p w14:paraId="17058A99" w14:textId="6F91B8F9"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0.0617</w:t>
            </w:r>
          </w:p>
        </w:tc>
        <w:tc>
          <w:tcPr>
            <w:tcW w:w="1225" w:type="pct"/>
            <w:vMerge/>
            <w:noWrap/>
            <w:vAlign w:val="top"/>
            <w:hideMark/>
          </w:tcPr>
          <w:p w14:paraId="78FBB0D8" w14:textId="29D4DEB5"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56C55C3D"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51615A3D"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PDR laser treated </w:t>
            </w:r>
          </w:p>
        </w:tc>
        <w:tc>
          <w:tcPr>
            <w:tcW w:w="553" w:type="pct"/>
            <w:noWrap/>
            <w:vAlign w:val="top"/>
            <w:hideMark/>
          </w:tcPr>
          <w:p w14:paraId="1ECFBF83"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0.806</w:t>
            </w:r>
          </w:p>
        </w:tc>
        <w:tc>
          <w:tcPr>
            <w:tcW w:w="1052" w:type="pct"/>
          </w:tcPr>
          <w:p w14:paraId="26E28567" w14:textId="6F888D95"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0.0148</w:t>
            </w:r>
          </w:p>
        </w:tc>
        <w:tc>
          <w:tcPr>
            <w:tcW w:w="1225" w:type="pct"/>
            <w:vMerge/>
            <w:noWrap/>
            <w:vAlign w:val="top"/>
            <w:hideMark/>
          </w:tcPr>
          <w:p w14:paraId="22F2C6E7" w14:textId="74C66189"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62E857F5"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6C708592"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PDR no Laser </w:t>
            </w:r>
          </w:p>
        </w:tc>
        <w:tc>
          <w:tcPr>
            <w:tcW w:w="553" w:type="pct"/>
            <w:noWrap/>
            <w:vAlign w:val="top"/>
            <w:hideMark/>
          </w:tcPr>
          <w:p w14:paraId="33C12415"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0.806</w:t>
            </w:r>
          </w:p>
        </w:tc>
        <w:tc>
          <w:tcPr>
            <w:tcW w:w="1052" w:type="pct"/>
          </w:tcPr>
          <w:p w14:paraId="23814735" w14:textId="1540BC3A"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0.0148</w:t>
            </w:r>
          </w:p>
        </w:tc>
        <w:tc>
          <w:tcPr>
            <w:tcW w:w="1225" w:type="pct"/>
            <w:vMerge/>
            <w:noWrap/>
            <w:vAlign w:val="top"/>
            <w:hideMark/>
          </w:tcPr>
          <w:p w14:paraId="1391FECA" w14:textId="5EE4EAB4"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7DD17A6C"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4FE42434"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ME </w:t>
            </w:r>
          </w:p>
        </w:tc>
        <w:tc>
          <w:tcPr>
            <w:tcW w:w="553" w:type="pct"/>
            <w:noWrap/>
            <w:vAlign w:val="top"/>
            <w:hideMark/>
          </w:tcPr>
          <w:p w14:paraId="7E4DC95C"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0.836</w:t>
            </w:r>
          </w:p>
        </w:tc>
        <w:tc>
          <w:tcPr>
            <w:tcW w:w="1052" w:type="pct"/>
          </w:tcPr>
          <w:p w14:paraId="38EB76EF" w14:textId="301A61DD"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0.0133</w:t>
            </w:r>
          </w:p>
        </w:tc>
        <w:tc>
          <w:tcPr>
            <w:tcW w:w="1225" w:type="pct"/>
            <w:vMerge/>
            <w:noWrap/>
            <w:vAlign w:val="top"/>
            <w:hideMark/>
          </w:tcPr>
          <w:p w14:paraId="0932D2E6" w14:textId="1950B5B1"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4196405C"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21029F15"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SVL </w:t>
            </w:r>
          </w:p>
        </w:tc>
        <w:tc>
          <w:tcPr>
            <w:tcW w:w="553" w:type="pct"/>
            <w:noWrap/>
            <w:vAlign w:val="top"/>
            <w:hideMark/>
          </w:tcPr>
          <w:p w14:paraId="7C9DAFE2"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0.802</w:t>
            </w:r>
          </w:p>
        </w:tc>
        <w:tc>
          <w:tcPr>
            <w:tcW w:w="1052" w:type="pct"/>
          </w:tcPr>
          <w:p w14:paraId="416BF2E7" w14:textId="1125E52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0.025</w:t>
            </w:r>
          </w:p>
        </w:tc>
        <w:tc>
          <w:tcPr>
            <w:tcW w:w="1225" w:type="pct"/>
            <w:vMerge/>
            <w:noWrap/>
            <w:vAlign w:val="top"/>
            <w:hideMark/>
          </w:tcPr>
          <w:p w14:paraId="48716757" w14:textId="6CAE4EA5"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0BB85BEA"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0F812A23"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cataract </w:t>
            </w:r>
          </w:p>
        </w:tc>
        <w:tc>
          <w:tcPr>
            <w:tcW w:w="553" w:type="pct"/>
            <w:noWrap/>
            <w:vAlign w:val="top"/>
            <w:hideMark/>
          </w:tcPr>
          <w:p w14:paraId="693A347D"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0.86</w:t>
            </w:r>
          </w:p>
        </w:tc>
        <w:tc>
          <w:tcPr>
            <w:tcW w:w="1052" w:type="pct"/>
          </w:tcPr>
          <w:p w14:paraId="1CB110BE" w14:textId="37FD25C1"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0.0077</w:t>
            </w:r>
          </w:p>
        </w:tc>
        <w:tc>
          <w:tcPr>
            <w:tcW w:w="1225" w:type="pct"/>
            <w:vMerge/>
            <w:noWrap/>
            <w:vAlign w:val="top"/>
            <w:hideMark/>
          </w:tcPr>
          <w:p w14:paraId="78FC8CF4" w14:textId="61151BA1"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19179028"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16311F7E"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neuropathy </w:t>
            </w:r>
          </w:p>
        </w:tc>
        <w:tc>
          <w:tcPr>
            <w:tcW w:w="553" w:type="pct"/>
            <w:noWrap/>
            <w:vAlign w:val="top"/>
            <w:hideMark/>
          </w:tcPr>
          <w:p w14:paraId="7591D4CD"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0.792</w:t>
            </w:r>
          </w:p>
        </w:tc>
        <w:tc>
          <w:tcPr>
            <w:tcW w:w="1052" w:type="pct"/>
          </w:tcPr>
          <w:p w14:paraId="41C2E7B4" w14:textId="24A8E949"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0.0138</w:t>
            </w:r>
          </w:p>
        </w:tc>
        <w:tc>
          <w:tcPr>
            <w:tcW w:w="1225" w:type="pct"/>
            <w:vMerge/>
            <w:noWrap/>
            <w:vAlign w:val="top"/>
            <w:hideMark/>
          </w:tcPr>
          <w:p w14:paraId="769DA6DE" w14:textId="383D4626"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p>
        </w:tc>
      </w:tr>
      <w:tr w:rsidR="004733FA" w:rsidRPr="00A30073" w14:paraId="6B8F6BBA"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6A726F8F"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healed ulcer </w:t>
            </w:r>
          </w:p>
        </w:tc>
        <w:tc>
          <w:tcPr>
            <w:tcW w:w="553" w:type="pct"/>
            <w:noWrap/>
            <w:vAlign w:val="top"/>
            <w:hideMark/>
          </w:tcPr>
          <w:p w14:paraId="432EBCE1"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0.876</w:t>
            </w:r>
          </w:p>
        </w:tc>
        <w:tc>
          <w:tcPr>
            <w:tcW w:w="1052" w:type="pct"/>
          </w:tcPr>
          <w:p w14:paraId="58D802AD" w14:textId="51E536EF"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0.0531</w:t>
            </w:r>
          </w:p>
        </w:tc>
        <w:tc>
          <w:tcPr>
            <w:tcW w:w="1225" w:type="pct"/>
            <w:vMerge/>
            <w:noWrap/>
            <w:vAlign w:val="top"/>
            <w:hideMark/>
          </w:tcPr>
          <w:p w14:paraId="7310EE35" w14:textId="620F32D7"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2C411603"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78249DCD"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QoL active ulcer</w:t>
            </w:r>
          </w:p>
        </w:tc>
        <w:tc>
          <w:tcPr>
            <w:tcW w:w="553" w:type="pct"/>
            <w:noWrap/>
            <w:vAlign w:val="top"/>
            <w:hideMark/>
          </w:tcPr>
          <w:p w14:paraId="2FC6BC95"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-0.17</w:t>
            </w:r>
          </w:p>
        </w:tc>
        <w:tc>
          <w:tcPr>
            <w:tcW w:w="1052" w:type="pct"/>
          </w:tcPr>
          <w:p w14:paraId="774F3C95" w14:textId="4A0B0BCB"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0.0189</w:t>
            </w:r>
          </w:p>
        </w:tc>
        <w:tc>
          <w:tcPr>
            <w:tcW w:w="1225" w:type="pct"/>
            <w:vMerge/>
            <w:noWrap/>
            <w:vAlign w:val="top"/>
            <w:hideMark/>
          </w:tcPr>
          <w:p w14:paraId="763D6463" w14:textId="42E0AD59"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p>
        </w:tc>
      </w:tr>
      <w:tr w:rsidR="004733FA" w:rsidRPr="00A30073" w14:paraId="6BF55AF2"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57F6483B"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active ulcer </w:t>
            </w:r>
          </w:p>
        </w:tc>
        <w:tc>
          <w:tcPr>
            <w:tcW w:w="553" w:type="pct"/>
            <w:noWrap/>
            <w:vAlign w:val="top"/>
            <w:hideMark/>
          </w:tcPr>
          <w:p w14:paraId="1E3DE2CA"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0.706</w:t>
            </w:r>
          </w:p>
        </w:tc>
        <w:tc>
          <w:tcPr>
            <w:tcW w:w="1052" w:type="pct"/>
          </w:tcPr>
          <w:p w14:paraId="2598B240" w14:textId="2CAFB130"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0.561</w:t>
            </w:r>
          </w:p>
        </w:tc>
        <w:tc>
          <w:tcPr>
            <w:tcW w:w="1225" w:type="pct"/>
            <w:vMerge/>
            <w:noWrap/>
            <w:vAlign w:val="top"/>
            <w:hideMark/>
          </w:tcPr>
          <w:p w14:paraId="473233AD" w14:textId="3597E18C"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4733FA" w:rsidRPr="00A30073" w14:paraId="725CC27B"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0422B397" w14:textId="77777777" w:rsidR="004733FA" w:rsidRPr="00A30073" w:rsidRDefault="004733FA"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U post amputation </w:t>
            </w:r>
          </w:p>
        </w:tc>
        <w:tc>
          <w:tcPr>
            <w:tcW w:w="553" w:type="pct"/>
            <w:noWrap/>
            <w:vAlign w:val="top"/>
            <w:hideMark/>
          </w:tcPr>
          <w:p w14:paraId="42505124" w14:textId="77777777"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0.596</w:t>
            </w:r>
          </w:p>
        </w:tc>
        <w:tc>
          <w:tcPr>
            <w:tcW w:w="1052" w:type="pct"/>
          </w:tcPr>
          <w:p w14:paraId="24B6B58F" w14:textId="1DD411BC" w:rsidR="004733FA" w:rsidRPr="00A30073" w:rsidRDefault="004733FA"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0.0561</w:t>
            </w:r>
          </w:p>
        </w:tc>
        <w:tc>
          <w:tcPr>
            <w:tcW w:w="1225" w:type="pct"/>
            <w:vMerge/>
            <w:noWrap/>
            <w:vAlign w:val="top"/>
            <w:hideMark/>
          </w:tcPr>
          <w:p w14:paraId="1E45AF24" w14:textId="67F566FC" w:rsidR="004733FA" w:rsidRPr="00A30073" w:rsidRDefault="004733FA"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D917CF" w:rsidRPr="00A30073" w14:paraId="3C06CE69"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6B9DD0AF" w14:textId="77777777" w:rsidR="00D917CF" w:rsidRPr="00A30073" w:rsidRDefault="00D917CF"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Diminishing NSHE disutility </w:t>
            </w:r>
          </w:p>
        </w:tc>
        <w:tc>
          <w:tcPr>
            <w:tcW w:w="553" w:type="pct"/>
            <w:noWrap/>
            <w:vAlign w:val="top"/>
            <w:hideMark/>
          </w:tcPr>
          <w:p w14:paraId="205BA7E9" w14:textId="77777777" w:rsidR="00D917CF" w:rsidRPr="00A30073" w:rsidRDefault="00D917CF"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Yes</w:t>
            </w:r>
          </w:p>
        </w:tc>
        <w:tc>
          <w:tcPr>
            <w:tcW w:w="1052" w:type="pct"/>
          </w:tcPr>
          <w:p w14:paraId="4A7B35E3" w14:textId="77777777" w:rsidR="00D917CF" w:rsidRPr="00A30073" w:rsidRDefault="00D917CF" w:rsidP="00D917CF">
            <w:pPr>
              <w:cnfStyle w:val="000000000000" w:firstRow="0" w:lastRow="0" w:firstColumn="0" w:lastColumn="0" w:oddVBand="0" w:evenVBand="0" w:oddHBand="0" w:evenHBand="0" w:firstRowFirstColumn="0" w:firstRowLastColumn="0" w:lastRowFirstColumn="0" w:lastRowLastColumn="0"/>
              <w:rPr>
                <w:rFonts w:cstheme="minorHAnsi"/>
                <w:color w:val="000000"/>
                <w:lang w:val="fr-BE" w:eastAsia="en-GB"/>
              </w:rPr>
            </w:pPr>
          </w:p>
        </w:tc>
        <w:tc>
          <w:tcPr>
            <w:tcW w:w="1225" w:type="pct"/>
            <w:noWrap/>
            <w:vAlign w:val="top"/>
            <w:hideMark/>
          </w:tcPr>
          <w:p w14:paraId="7745637E" w14:textId="105FE906" w:rsidR="00D917CF" w:rsidRPr="00A30073" w:rsidRDefault="00D917CF"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fr-BE" w:eastAsia="en-GB"/>
              </w:rPr>
            </w:pPr>
            <w:r w:rsidRPr="00A30073">
              <w:rPr>
                <w:rFonts w:asciiTheme="minorHAnsi" w:hAnsiTheme="minorHAnsi" w:cstheme="minorHAnsi"/>
                <w:color w:val="000000"/>
                <w:sz w:val="22"/>
                <w:szCs w:val="22"/>
                <w:lang w:val="fr-BE" w:eastAsia="en-GB"/>
              </w:rPr>
              <w:t xml:space="preserve">Lauridsen et al 2014 </w:t>
            </w:r>
            <w:r w:rsidRPr="00A30073">
              <w:rPr>
                <w:rFonts w:cstheme="minorHAnsi"/>
                <w:color w:val="000000"/>
                <w:lang w:eastAsia="en-GB"/>
              </w:rPr>
              <w:fldChar w:fldCharType="begin"/>
            </w:r>
            <w:r w:rsidRPr="00A30073">
              <w:rPr>
                <w:rFonts w:asciiTheme="minorHAnsi" w:hAnsiTheme="minorHAnsi" w:cstheme="minorHAnsi"/>
                <w:color w:val="000000"/>
                <w:sz w:val="22"/>
                <w:szCs w:val="22"/>
                <w:lang w:val="en-GB" w:eastAsia="en-GB"/>
              </w:rPr>
              <w:instrText xml:space="preserve"> ADDIN EN.CITE &lt;EndNote&gt;&lt;Cite&gt;&lt;Author&gt;Lauridsen&lt;/Author&gt;&lt;Year&gt;2014&lt;/Year&gt;&lt;RecNum&gt;325&lt;/RecNum&gt;&lt;DisplayText&gt;(3)&lt;/DisplayText&gt;&lt;record&gt;&lt;rec-number&gt;325&lt;/rec-number&gt;&lt;foreign-keys&gt;&lt;key app="EN" db-id="x00avpz24e2sr7et29mv9tejtfp0pefaadrf" timestamp="1544120655"&gt;325&lt;/key&gt;&lt;/foreign-keys&gt;&lt;ref-type name="Journal Article"&gt;17&lt;/ref-type&gt;&lt;contributors&gt;&lt;authors&gt;&lt;author&gt;Lauridsen, J. T.&lt;/author&gt;&lt;author&gt;Lonborg, J.&lt;/author&gt;&lt;author&gt;Gundgaard, J.&lt;/author&gt;&lt;author&gt;Jensen, H. H.&lt;/author&gt;&lt;/authors&gt;&lt;/contributors&gt;&lt;auth-address&gt;Centre of Health Economics Research (COHERE), Campusvej 55, 5230, Odense M, Denmark, jtl@sam.sdu.dk.&lt;/auth-address&gt;&lt;titles&gt;&lt;title&gt;Diminishing marginal disutility of hypoglycaemic events: results from a time trade-off survey in five countries&lt;/title&gt;&lt;secondary-title&gt;Qual Life Res&lt;/secondary-title&gt;&lt;/titles&gt;&lt;periodical&gt;&lt;full-title&gt;Qual Life Res&lt;/full-title&gt;&lt;/periodical&gt;&lt;pages&gt;2645-50&lt;/pages&gt;&lt;volume&gt;23&lt;/volume&gt;&lt;number&gt;9&lt;/number&gt;&lt;edition&gt;2014/05/20&lt;/edition&gt;&lt;keywords&gt;&lt;keyword&gt;Aged&lt;/keyword&gt;&lt;keyword&gt;Diabetes Complications/*psychology&lt;/keyword&gt;&lt;keyword&gt;Diabetes Mellitus, Type 1&lt;/keyword&gt;&lt;keyword&gt;Diabetes Mellitus, Type 2&lt;/keyword&gt;&lt;keyword&gt;Female&lt;/keyword&gt;&lt;keyword&gt;*Health Status&lt;/keyword&gt;&lt;keyword&gt;Health Surveys&lt;/keyword&gt;&lt;keyword&gt;Humans&lt;/keyword&gt;&lt;keyword&gt;Hypoglycemia/etiology/*psychology&lt;/keyword&gt;&lt;keyword&gt;Hypoglycemic Agents/adverse effects&lt;/keyword&gt;&lt;keyword&gt;Male&lt;/keyword&gt;&lt;keyword&gt;Middle Aged&lt;/keyword&gt;&lt;keyword&gt;*Quality of Life&lt;/keyword&gt;&lt;keyword&gt;Statistics, Nonparametric&lt;/keyword&gt;&lt;/keywords&gt;&lt;dates&gt;&lt;year&gt;2014&lt;/year&gt;&lt;pub-dates&gt;&lt;date&gt;Nov&lt;/date&gt;&lt;/pub-dates&gt;&lt;/dates&gt;&lt;isbn&gt;1573-2649 (Electronic)&amp;#xD;0962-9343 (Linking)&lt;/isbn&gt;&lt;accession-num&gt;24838908&lt;/accession-num&gt;&lt;urls&gt;&lt;related-urls&gt;&lt;url&gt;https://www.ncbi.nlm.nih.gov/pubmed/24838908&lt;/url&gt;&lt;/related-urls&gt;&lt;/urls&gt;&lt;electronic-resource-num&gt;10.1007/s11136-014-0712-x&lt;/electronic-resource-num&gt;&lt;/record&gt;&lt;/Cite&gt;&lt;/EndNote&gt;</w:instrText>
            </w:r>
            <w:r w:rsidRPr="00A30073">
              <w:rPr>
                <w:rFonts w:cstheme="minorHAnsi"/>
                <w:color w:val="000000"/>
                <w:lang w:eastAsia="en-GB"/>
              </w:rPr>
              <w:fldChar w:fldCharType="separate"/>
            </w:r>
            <w:r w:rsidRPr="00A30073">
              <w:rPr>
                <w:rFonts w:asciiTheme="minorHAnsi" w:hAnsiTheme="minorHAnsi" w:cstheme="minorHAnsi"/>
                <w:noProof/>
                <w:color w:val="000000"/>
                <w:sz w:val="22"/>
                <w:szCs w:val="22"/>
                <w:lang w:val="en-GB" w:eastAsia="en-GB"/>
              </w:rPr>
              <w:t>(3)</w:t>
            </w:r>
            <w:r w:rsidRPr="00A30073">
              <w:rPr>
                <w:rFonts w:cstheme="minorHAnsi"/>
                <w:color w:val="000000"/>
                <w:lang w:eastAsia="en-GB"/>
              </w:rPr>
              <w:fldChar w:fldCharType="end"/>
            </w:r>
          </w:p>
        </w:tc>
      </w:tr>
      <w:tr w:rsidR="00D917CF" w:rsidRPr="00A30073" w14:paraId="4F7FC9EB"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6C2972E0" w14:textId="77777777" w:rsidR="00D917CF" w:rsidRPr="00A30073" w:rsidRDefault="00D917CF"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DisU for SHE 1 (during daytime) </w:t>
            </w:r>
          </w:p>
        </w:tc>
        <w:tc>
          <w:tcPr>
            <w:tcW w:w="553" w:type="pct"/>
            <w:noWrap/>
            <w:vAlign w:val="top"/>
            <w:hideMark/>
          </w:tcPr>
          <w:p w14:paraId="0D28E853" w14:textId="77777777" w:rsidR="00D917CF" w:rsidRPr="00A30073" w:rsidRDefault="00D917CF"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-0.0205</w:t>
            </w:r>
          </w:p>
        </w:tc>
        <w:tc>
          <w:tcPr>
            <w:tcW w:w="1052" w:type="pct"/>
          </w:tcPr>
          <w:p w14:paraId="6F046192" w14:textId="6DAC30DF" w:rsidR="00D917CF" w:rsidRPr="00A30073" w:rsidRDefault="004733FA" w:rsidP="00D917CF">
            <w:pPr>
              <w:cnfStyle w:val="000000000000" w:firstRow="0" w:lastRow="0" w:firstColumn="0" w:lastColumn="0" w:oddVBand="0" w:evenVBand="0" w:oddHBand="0" w:evenHBand="0" w:firstRowFirstColumn="0" w:firstRowLastColumn="0" w:lastRowFirstColumn="0" w:lastRowLastColumn="0"/>
              <w:rPr>
                <w:rFonts w:cstheme="minorHAnsi"/>
                <w:color w:val="000000"/>
                <w:lang w:eastAsia="en-GB"/>
              </w:rPr>
            </w:pPr>
            <w:r w:rsidRPr="00A30073">
              <w:rPr>
                <w:rFonts w:cstheme="minorHAnsi"/>
                <w:color w:val="000000"/>
                <w:lang w:eastAsia="en-GB"/>
              </w:rPr>
              <w:t>-</w:t>
            </w:r>
          </w:p>
        </w:tc>
        <w:tc>
          <w:tcPr>
            <w:tcW w:w="1225" w:type="pct"/>
            <w:noWrap/>
            <w:vAlign w:val="top"/>
            <w:hideMark/>
          </w:tcPr>
          <w:p w14:paraId="75656FD2" w14:textId="73CF33D5" w:rsidR="00D917CF" w:rsidRPr="00A30073" w:rsidRDefault="00D917CF"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Foos et al 2018 </w:t>
            </w:r>
            <w:r w:rsidRPr="00A30073">
              <w:rPr>
                <w:rFonts w:cstheme="minorHAnsi"/>
                <w:color w:val="000000"/>
                <w:lang w:eastAsia="en-GB"/>
              </w:rPr>
              <w:fldChar w:fldCharType="begin"/>
            </w:r>
            <w:r w:rsidRPr="00A30073">
              <w:rPr>
                <w:rFonts w:asciiTheme="minorHAnsi" w:hAnsiTheme="minorHAnsi" w:cstheme="minorHAnsi"/>
                <w:color w:val="000000"/>
                <w:sz w:val="22"/>
                <w:szCs w:val="22"/>
                <w:lang w:val="en-GB" w:eastAsia="en-GB"/>
              </w:rPr>
              <w:instrText xml:space="preserve"> ADDIN EN.CITE &lt;EndNote&gt;&lt;Cite&gt;&lt;Author&gt;Volker Foos&lt;/Author&gt;&lt;Year&gt;2018&lt;/Year&gt;&lt;RecNum&gt;326&lt;/RecNum&gt;&lt;DisplayText&gt;(4)&lt;/DisplayText&gt;&lt;record&gt;&lt;rec-number&gt;326&lt;/rec-number&gt;&lt;foreign-keys&gt;&lt;key app="EN" db-id="x00avpz24e2sr7et29mv9tejtfp0pefaadrf" timestamp="1544121471"&gt;326&lt;/key&gt;&lt;/foreign-keys&gt;&lt;ref-type name="Journal Article"&gt;17&lt;/ref-type&gt;&lt;contributors&gt;&lt;authors&gt;&lt;author&gt;Volker Foos, Phil McEwan&lt;/author&gt;&lt;/authors&gt;&lt;/contributors&gt;&lt;titles&gt;&lt;title&gt;Conversion of Hypoglycemia Utility Decrements from Categorical Units Reflecting Event History into Event Specific Disutility Scores Applicable to Diabetes Decision Models&lt;/title&gt;&lt;secondary-title&gt;Value in Health&lt;/secondary-title&gt;&lt;/titles&gt;&lt;periodical&gt;&lt;full-title&gt;Value in Health&lt;/full-title&gt;&lt;/periodical&gt;&lt;volume&gt;21&lt;/volume&gt;&lt;num-vols&gt;1&lt;/num-vols&gt;&lt;dates&gt;&lt;year&gt;2018&lt;/year&gt;&lt;/dates&gt;&lt;urls&gt;&lt;related-urls&gt;&lt;url&gt;&lt;style face="underline" font="default" size="100%"&gt;https://www.valueinhealthjournal.com/article/S1098-3015(18)31812-6/fulltext&lt;/style&gt;&lt;/url&gt;&lt;/related-urls&gt;&lt;/urls&gt;&lt;/record&gt;&lt;/Cite&gt;&lt;/EndNote&gt;</w:instrText>
            </w:r>
            <w:r w:rsidRPr="00A30073">
              <w:rPr>
                <w:rFonts w:cstheme="minorHAnsi"/>
                <w:color w:val="000000"/>
                <w:lang w:eastAsia="en-GB"/>
              </w:rPr>
              <w:fldChar w:fldCharType="separate"/>
            </w:r>
            <w:r w:rsidRPr="00A30073">
              <w:rPr>
                <w:rFonts w:asciiTheme="minorHAnsi" w:hAnsiTheme="minorHAnsi" w:cstheme="minorHAnsi"/>
                <w:noProof/>
                <w:color w:val="000000"/>
                <w:sz w:val="22"/>
                <w:szCs w:val="22"/>
                <w:lang w:val="en-GB" w:eastAsia="en-GB"/>
              </w:rPr>
              <w:t>(4)</w:t>
            </w:r>
            <w:r w:rsidRPr="00A30073">
              <w:rPr>
                <w:rFonts w:cstheme="minorHAnsi"/>
                <w:color w:val="000000"/>
                <w:lang w:eastAsia="en-GB"/>
              </w:rPr>
              <w:fldChar w:fldCharType="end"/>
            </w:r>
          </w:p>
        </w:tc>
      </w:tr>
      <w:tr w:rsidR="00D917CF" w:rsidRPr="00A30073" w14:paraId="6CB5D7F6"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7472154F" w14:textId="77777777" w:rsidR="00D917CF" w:rsidRPr="00A30073" w:rsidRDefault="00D917CF"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DisU for SHE 1 (nocturnal) </w:t>
            </w:r>
          </w:p>
        </w:tc>
        <w:tc>
          <w:tcPr>
            <w:tcW w:w="553" w:type="pct"/>
            <w:noWrap/>
            <w:vAlign w:val="top"/>
            <w:hideMark/>
          </w:tcPr>
          <w:p w14:paraId="57A868D7" w14:textId="77777777" w:rsidR="00D917CF" w:rsidRPr="00A30073" w:rsidRDefault="00D917CF"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-0.0205</w:t>
            </w:r>
          </w:p>
        </w:tc>
        <w:tc>
          <w:tcPr>
            <w:tcW w:w="1052" w:type="pct"/>
          </w:tcPr>
          <w:p w14:paraId="66A59FC1" w14:textId="01DBDD3E" w:rsidR="00D917CF" w:rsidRPr="00A30073" w:rsidRDefault="004733FA" w:rsidP="00D917CF">
            <w:pPr>
              <w:cnfStyle w:val="000000000000" w:firstRow="0" w:lastRow="0" w:firstColumn="0" w:lastColumn="0" w:oddVBand="0" w:evenVBand="0" w:oddHBand="0" w:evenHBand="0" w:firstRowFirstColumn="0" w:firstRowLastColumn="0" w:lastRowFirstColumn="0" w:lastRowLastColumn="0"/>
              <w:rPr>
                <w:rFonts w:cstheme="minorHAnsi"/>
                <w:color w:val="000000"/>
                <w:lang w:eastAsia="en-GB"/>
              </w:rPr>
            </w:pPr>
            <w:r w:rsidRPr="00A30073">
              <w:rPr>
                <w:rFonts w:cstheme="minorHAnsi"/>
                <w:color w:val="000000"/>
                <w:lang w:eastAsia="en-GB"/>
              </w:rPr>
              <w:t>-</w:t>
            </w:r>
          </w:p>
        </w:tc>
        <w:tc>
          <w:tcPr>
            <w:tcW w:w="1225" w:type="pct"/>
            <w:noWrap/>
            <w:vAlign w:val="top"/>
            <w:hideMark/>
          </w:tcPr>
          <w:p w14:paraId="72CAE4BB" w14:textId="16200D29" w:rsidR="00D917CF" w:rsidRPr="00A30073" w:rsidRDefault="00D917CF"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Foos et al 2018 </w:t>
            </w:r>
            <w:r w:rsidRPr="00A30073">
              <w:rPr>
                <w:rFonts w:cstheme="minorHAnsi"/>
                <w:color w:val="000000"/>
                <w:lang w:eastAsia="en-GB"/>
              </w:rPr>
              <w:fldChar w:fldCharType="begin"/>
            </w:r>
            <w:r w:rsidRPr="00A30073">
              <w:rPr>
                <w:rFonts w:asciiTheme="minorHAnsi" w:hAnsiTheme="minorHAnsi" w:cstheme="minorHAnsi"/>
                <w:color w:val="000000"/>
                <w:sz w:val="22"/>
                <w:szCs w:val="22"/>
                <w:lang w:val="en-GB" w:eastAsia="en-GB"/>
              </w:rPr>
              <w:instrText xml:space="preserve"> ADDIN EN.CITE &lt;EndNote&gt;&lt;Cite&gt;&lt;Author&gt;Volker Foos&lt;/Author&gt;&lt;Year&gt;2018&lt;/Year&gt;&lt;RecNum&gt;326&lt;/RecNum&gt;&lt;DisplayText&gt;(4)&lt;/DisplayText&gt;&lt;record&gt;&lt;rec-number&gt;326&lt;/rec-number&gt;&lt;foreign-keys&gt;&lt;key app="EN" db-id="x00avpz24e2sr7et29mv9tejtfp0pefaadrf" timestamp="1544121471"&gt;326&lt;/key&gt;&lt;/foreign-keys&gt;&lt;ref-type name="Journal Article"&gt;17&lt;/ref-type&gt;&lt;contributors&gt;&lt;authors&gt;&lt;author&gt;Volker Foos, Phil McEwan&lt;/author&gt;&lt;/authors&gt;&lt;/contributors&gt;&lt;titles&gt;&lt;title&gt;Conversion of Hypoglycemia Utility Decrements from Categorical Units Reflecting Event History into Event Specific Disutility Scores Applicable to Diabetes Decision Models&lt;/title&gt;&lt;secondary-title&gt;Value in Health&lt;/secondary-title&gt;&lt;/titles&gt;&lt;periodical&gt;&lt;full-title&gt;Value in Health&lt;/full-title&gt;&lt;/periodical&gt;&lt;volume&gt;21&lt;/volume&gt;&lt;num-vols&gt;1&lt;/num-vols&gt;&lt;dates&gt;&lt;year&gt;2018&lt;/year&gt;&lt;/dates&gt;&lt;urls&gt;&lt;related-urls&gt;&lt;url&gt;&lt;style face="underline" font="default" size="100%"&gt;https://www.valueinhealthjournal.com/article/S1098-3015(18)31812-6/fulltext&lt;/style&gt;&lt;/url&gt;&lt;/related-urls&gt;&lt;/urls&gt;&lt;/record&gt;&lt;/Cite&gt;&lt;/EndNote&gt;</w:instrText>
            </w:r>
            <w:r w:rsidRPr="00A30073">
              <w:rPr>
                <w:rFonts w:cstheme="minorHAnsi"/>
                <w:color w:val="000000"/>
                <w:lang w:eastAsia="en-GB"/>
              </w:rPr>
              <w:fldChar w:fldCharType="separate"/>
            </w:r>
            <w:r w:rsidRPr="00A30073">
              <w:rPr>
                <w:rFonts w:asciiTheme="minorHAnsi" w:hAnsiTheme="minorHAnsi" w:cstheme="minorHAnsi"/>
                <w:noProof/>
                <w:color w:val="000000"/>
                <w:sz w:val="22"/>
                <w:szCs w:val="22"/>
                <w:lang w:val="en-GB" w:eastAsia="en-GB"/>
              </w:rPr>
              <w:t>(4)</w:t>
            </w:r>
            <w:r w:rsidRPr="00A30073">
              <w:rPr>
                <w:rFonts w:cstheme="minorHAnsi"/>
                <w:color w:val="000000"/>
                <w:lang w:eastAsia="en-GB"/>
              </w:rPr>
              <w:fldChar w:fldCharType="end"/>
            </w:r>
          </w:p>
        </w:tc>
      </w:tr>
      <w:tr w:rsidR="00D917CF" w:rsidRPr="00A30073" w14:paraId="5E161EDE"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172AE64A" w14:textId="77777777" w:rsidR="00D917CF" w:rsidRPr="00A30073" w:rsidRDefault="00D917CF"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DisU for SHE 2 (during daytime) </w:t>
            </w:r>
          </w:p>
        </w:tc>
        <w:tc>
          <w:tcPr>
            <w:tcW w:w="553" w:type="pct"/>
            <w:noWrap/>
            <w:vAlign w:val="top"/>
            <w:hideMark/>
          </w:tcPr>
          <w:p w14:paraId="63D16A57" w14:textId="77777777" w:rsidR="00D917CF" w:rsidRPr="00A30073" w:rsidRDefault="00D917CF"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-0.0743</w:t>
            </w:r>
          </w:p>
        </w:tc>
        <w:tc>
          <w:tcPr>
            <w:tcW w:w="1052" w:type="pct"/>
          </w:tcPr>
          <w:p w14:paraId="2FD73E79" w14:textId="6AC33B4F" w:rsidR="00D917CF" w:rsidRPr="00A30073" w:rsidRDefault="004733FA" w:rsidP="00D917CF">
            <w:pPr>
              <w:cnfStyle w:val="000000000000" w:firstRow="0" w:lastRow="0" w:firstColumn="0" w:lastColumn="0" w:oddVBand="0" w:evenVBand="0" w:oddHBand="0" w:evenHBand="0" w:firstRowFirstColumn="0" w:firstRowLastColumn="0" w:lastRowFirstColumn="0" w:lastRowLastColumn="0"/>
              <w:rPr>
                <w:rFonts w:cstheme="minorHAnsi"/>
                <w:color w:val="000000"/>
                <w:lang w:eastAsia="en-GB"/>
              </w:rPr>
            </w:pPr>
            <w:r w:rsidRPr="00A30073">
              <w:rPr>
                <w:rFonts w:cstheme="minorHAnsi"/>
                <w:color w:val="000000"/>
                <w:lang w:eastAsia="en-GB"/>
              </w:rPr>
              <w:t>-</w:t>
            </w:r>
          </w:p>
        </w:tc>
        <w:tc>
          <w:tcPr>
            <w:tcW w:w="1225" w:type="pct"/>
            <w:noWrap/>
            <w:vAlign w:val="top"/>
            <w:hideMark/>
          </w:tcPr>
          <w:p w14:paraId="73E9740D" w14:textId="7AEEA25A" w:rsidR="00D917CF" w:rsidRPr="00A30073" w:rsidRDefault="00D917CF"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Foos et al 2018 </w:t>
            </w:r>
            <w:r w:rsidRPr="00A30073">
              <w:rPr>
                <w:rFonts w:cstheme="minorHAnsi"/>
                <w:color w:val="000000"/>
                <w:lang w:eastAsia="en-GB"/>
              </w:rPr>
              <w:fldChar w:fldCharType="begin"/>
            </w:r>
            <w:r w:rsidRPr="00A30073">
              <w:rPr>
                <w:rFonts w:asciiTheme="minorHAnsi" w:hAnsiTheme="minorHAnsi" w:cstheme="minorHAnsi"/>
                <w:color w:val="000000"/>
                <w:sz w:val="22"/>
                <w:szCs w:val="22"/>
                <w:lang w:val="en-GB" w:eastAsia="en-GB"/>
              </w:rPr>
              <w:instrText xml:space="preserve"> ADDIN EN.CITE &lt;EndNote&gt;&lt;Cite&gt;&lt;Author&gt;Volker Foos&lt;/Author&gt;&lt;Year&gt;2018&lt;/Year&gt;&lt;RecNum&gt;326&lt;/RecNum&gt;&lt;DisplayText&gt;(4)&lt;/DisplayText&gt;&lt;record&gt;&lt;rec-number&gt;326&lt;/rec-number&gt;&lt;foreign-keys&gt;&lt;key app="EN" db-id="x00avpz24e2sr7et29mv9tejtfp0pefaadrf" timestamp="1544121471"&gt;326&lt;/key&gt;&lt;/foreign-keys&gt;&lt;ref-type name="Journal Article"&gt;17&lt;/ref-type&gt;&lt;contributors&gt;&lt;authors&gt;&lt;author&gt;Volker Foos, Phil McEwan&lt;/author&gt;&lt;/authors&gt;&lt;/contributors&gt;&lt;titles&gt;&lt;title&gt;Conversion of Hypoglycemia Utility Decrements from Categorical Units Reflecting Event History into Event Specific Disutility Scores Applicable to Diabetes Decision Models&lt;/title&gt;&lt;secondary-title&gt;Value in Health&lt;/secondary-title&gt;&lt;/titles&gt;&lt;periodical&gt;&lt;full-title&gt;Value in Health&lt;/full-title&gt;&lt;/periodical&gt;&lt;volume&gt;21&lt;/volume&gt;&lt;num-vols&gt;1&lt;/num-vols&gt;&lt;dates&gt;&lt;year&gt;2018&lt;/year&gt;&lt;/dates&gt;&lt;urls&gt;&lt;related-urls&gt;&lt;url&gt;&lt;style face="underline" font="default" size="100%"&gt;https://www.valueinhealthjournal.com/article/S1098-3015(18)31812-6/fulltext&lt;/style&gt;&lt;/url&gt;&lt;/related-urls&gt;&lt;/urls&gt;&lt;/record&gt;&lt;/Cite&gt;&lt;/EndNote&gt;</w:instrText>
            </w:r>
            <w:r w:rsidRPr="00A30073">
              <w:rPr>
                <w:rFonts w:cstheme="minorHAnsi"/>
                <w:color w:val="000000"/>
                <w:lang w:eastAsia="en-GB"/>
              </w:rPr>
              <w:fldChar w:fldCharType="separate"/>
            </w:r>
            <w:r w:rsidRPr="00A30073">
              <w:rPr>
                <w:rFonts w:asciiTheme="minorHAnsi" w:hAnsiTheme="minorHAnsi" w:cstheme="minorHAnsi"/>
                <w:noProof/>
                <w:color w:val="000000"/>
                <w:sz w:val="22"/>
                <w:szCs w:val="22"/>
                <w:lang w:val="en-GB" w:eastAsia="en-GB"/>
              </w:rPr>
              <w:t>(4)</w:t>
            </w:r>
            <w:r w:rsidRPr="00A30073">
              <w:rPr>
                <w:rFonts w:cstheme="minorHAnsi"/>
                <w:color w:val="000000"/>
                <w:lang w:eastAsia="en-GB"/>
              </w:rPr>
              <w:fldChar w:fldCharType="end"/>
            </w:r>
          </w:p>
        </w:tc>
      </w:tr>
      <w:tr w:rsidR="00D917CF" w:rsidRPr="00A30073" w14:paraId="219BDE81"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vAlign w:val="top"/>
            <w:hideMark/>
          </w:tcPr>
          <w:p w14:paraId="11AB0624" w14:textId="77777777" w:rsidR="00D917CF" w:rsidRPr="00A30073" w:rsidRDefault="00D917CF" w:rsidP="00D917CF">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DisU for SHE 2 (nocturnal) </w:t>
            </w:r>
          </w:p>
        </w:tc>
        <w:tc>
          <w:tcPr>
            <w:tcW w:w="553" w:type="pct"/>
            <w:noWrap/>
            <w:vAlign w:val="top"/>
            <w:hideMark/>
          </w:tcPr>
          <w:p w14:paraId="69173E3C" w14:textId="77777777" w:rsidR="00D917CF" w:rsidRPr="00A30073" w:rsidRDefault="00D917CF" w:rsidP="00D917C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-0.0743</w:t>
            </w:r>
          </w:p>
        </w:tc>
        <w:tc>
          <w:tcPr>
            <w:tcW w:w="1052" w:type="pct"/>
          </w:tcPr>
          <w:p w14:paraId="47019CF9" w14:textId="5EC730D9" w:rsidR="00D917CF" w:rsidRPr="00A30073" w:rsidRDefault="004733FA" w:rsidP="00D917CF">
            <w:pPr>
              <w:cnfStyle w:val="000000000000" w:firstRow="0" w:lastRow="0" w:firstColumn="0" w:lastColumn="0" w:oddVBand="0" w:evenVBand="0" w:oddHBand="0" w:evenHBand="0" w:firstRowFirstColumn="0" w:firstRowLastColumn="0" w:lastRowFirstColumn="0" w:lastRowLastColumn="0"/>
              <w:rPr>
                <w:rFonts w:cstheme="minorHAnsi"/>
                <w:color w:val="000000"/>
                <w:lang w:eastAsia="en-GB"/>
              </w:rPr>
            </w:pPr>
            <w:r w:rsidRPr="00A30073">
              <w:rPr>
                <w:rFonts w:cstheme="minorHAnsi"/>
                <w:color w:val="000000"/>
                <w:lang w:eastAsia="en-GB"/>
              </w:rPr>
              <w:t>-</w:t>
            </w:r>
          </w:p>
        </w:tc>
        <w:tc>
          <w:tcPr>
            <w:tcW w:w="1225" w:type="pct"/>
            <w:noWrap/>
            <w:vAlign w:val="top"/>
            <w:hideMark/>
          </w:tcPr>
          <w:p w14:paraId="3BBB759D" w14:textId="6F847176" w:rsidR="00D917CF" w:rsidRPr="00A30073" w:rsidRDefault="00D917CF"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Foos et al 2018 </w:t>
            </w:r>
            <w:r w:rsidRPr="00A30073">
              <w:rPr>
                <w:rFonts w:cstheme="minorHAnsi"/>
                <w:color w:val="000000"/>
                <w:lang w:eastAsia="en-GB"/>
              </w:rPr>
              <w:fldChar w:fldCharType="begin"/>
            </w:r>
            <w:r w:rsidRPr="00A30073">
              <w:rPr>
                <w:rFonts w:asciiTheme="minorHAnsi" w:hAnsiTheme="minorHAnsi" w:cstheme="minorHAnsi"/>
                <w:color w:val="000000"/>
                <w:sz w:val="22"/>
                <w:szCs w:val="22"/>
                <w:lang w:val="en-GB" w:eastAsia="en-GB"/>
              </w:rPr>
              <w:instrText xml:space="preserve"> ADDIN EN.CITE &lt;EndNote&gt;&lt;Cite&gt;&lt;Author&gt;Volker Foos&lt;/Author&gt;&lt;Year&gt;2018&lt;/Year&gt;&lt;RecNum&gt;326&lt;/RecNum&gt;&lt;DisplayText&gt;(4)&lt;/DisplayText&gt;&lt;record&gt;&lt;rec-number&gt;326&lt;/rec-number&gt;&lt;foreign-keys&gt;&lt;key app="EN" db-id="x00avpz24e2sr7et29mv9tejtfp0pefaadrf" timestamp="1544121471"&gt;326&lt;/key&gt;&lt;/foreign-keys&gt;&lt;ref-type name="Journal Article"&gt;17&lt;/ref-type&gt;&lt;contributors&gt;&lt;authors&gt;&lt;author&gt;Volker Foos, Phil McEwan&lt;/author&gt;&lt;/authors&gt;&lt;/contributors&gt;&lt;titles&gt;&lt;title&gt;Conversion of Hypoglycemia Utility Decrements from Categorical Units Reflecting Event History into Event Specific Disutility Scores Applicable to Diabetes Decision Models&lt;/title&gt;&lt;secondary-title&gt;Value in Health&lt;/secondary-title&gt;&lt;/titles&gt;&lt;periodical&gt;&lt;full-title&gt;Value in Health&lt;/full-title&gt;&lt;/periodical&gt;&lt;volume&gt;21&lt;/volume&gt;&lt;num-vols&gt;1&lt;/num-vols&gt;&lt;dates&gt;&lt;year&gt;2018&lt;/year&gt;&lt;/dates&gt;&lt;urls&gt;&lt;related-urls&gt;&lt;url&gt;&lt;style face="underline" font="default" size="100%"&gt;https://www.valueinhealthjournal.com/article/S1098-3015(18)31812-6/fulltext&lt;/style&gt;&lt;/url&gt;&lt;/related-urls&gt;&lt;/urls&gt;&lt;/record&gt;&lt;/Cite&gt;&lt;/EndNote&gt;</w:instrText>
            </w:r>
            <w:r w:rsidRPr="00A30073">
              <w:rPr>
                <w:rFonts w:cstheme="minorHAnsi"/>
                <w:color w:val="000000"/>
                <w:lang w:eastAsia="en-GB"/>
              </w:rPr>
              <w:fldChar w:fldCharType="separate"/>
            </w:r>
            <w:r w:rsidRPr="00A30073">
              <w:rPr>
                <w:rFonts w:asciiTheme="minorHAnsi" w:hAnsiTheme="minorHAnsi" w:cstheme="minorHAnsi"/>
                <w:noProof/>
                <w:color w:val="000000"/>
                <w:sz w:val="22"/>
                <w:szCs w:val="22"/>
                <w:lang w:val="en-GB" w:eastAsia="en-GB"/>
              </w:rPr>
              <w:t>(4)</w:t>
            </w:r>
            <w:r w:rsidRPr="00A30073">
              <w:rPr>
                <w:rFonts w:cstheme="minorHAnsi"/>
                <w:color w:val="000000"/>
                <w:lang w:eastAsia="en-GB"/>
              </w:rPr>
              <w:fldChar w:fldCharType="end"/>
            </w:r>
          </w:p>
        </w:tc>
      </w:tr>
      <w:tr w:rsidR="00D917CF" w:rsidRPr="00A30073" w14:paraId="4A32FAF8" w14:textId="77777777" w:rsidTr="00002C40">
        <w:trPr>
          <w:trHeight w:val="288"/>
        </w:trPr>
        <w:tc>
          <w:tcPr>
            <w:cnfStyle w:val="001000000000" w:firstRow="0" w:lastRow="0" w:firstColumn="1" w:lastColumn="0" w:oddVBand="0" w:evenVBand="0" w:oddHBand="0" w:evenHBand="0" w:firstRowFirstColumn="0" w:firstRowLastColumn="0" w:lastRowFirstColumn="0" w:lastRowLastColumn="0"/>
            <w:tcW w:w="2170" w:type="pct"/>
            <w:noWrap/>
            <w:hideMark/>
          </w:tcPr>
          <w:p w14:paraId="73B3C5DD" w14:textId="77777777" w:rsidR="00D917CF" w:rsidRPr="00A30073" w:rsidRDefault="00D917CF" w:rsidP="004733FA">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DisU for UTI/GI</w:t>
            </w:r>
          </w:p>
        </w:tc>
        <w:tc>
          <w:tcPr>
            <w:tcW w:w="553" w:type="pct"/>
            <w:noWrap/>
            <w:hideMark/>
          </w:tcPr>
          <w:p w14:paraId="52BAA8AB" w14:textId="77777777" w:rsidR="00D917CF" w:rsidRPr="00A30073" w:rsidRDefault="00D917CF" w:rsidP="004733F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rPr>
              <w:t>-0.00476</w:t>
            </w:r>
          </w:p>
        </w:tc>
        <w:tc>
          <w:tcPr>
            <w:tcW w:w="1052" w:type="pct"/>
          </w:tcPr>
          <w:p w14:paraId="4552D862" w14:textId="4159D0D2" w:rsidR="00D917CF" w:rsidRPr="00A30073" w:rsidRDefault="004733FA" w:rsidP="004733FA">
            <w:pPr>
              <w:cnfStyle w:val="000000000000" w:firstRow="0" w:lastRow="0" w:firstColumn="0" w:lastColumn="0" w:oddVBand="0" w:evenVBand="0" w:oddHBand="0" w:evenHBand="0" w:firstRowFirstColumn="0" w:firstRowLastColumn="0" w:lastRowFirstColumn="0" w:lastRowLastColumn="0"/>
              <w:rPr>
                <w:rFonts w:cstheme="minorHAnsi"/>
                <w:color w:val="000000"/>
                <w:lang w:eastAsia="en-GB"/>
              </w:rPr>
            </w:pPr>
            <w:r w:rsidRPr="00A30073">
              <w:rPr>
                <w:rFonts w:cstheme="minorHAnsi"/>
                <w:color w:val="000000"/>
                <w:lang w:eastAsia="en-GB"/>
              </w:rPr>
              <w:t>-</w:t>
            </w:r>
          </w:p>
        </w:tc>
        <w:tc>
          <w:tcPr>
            <w:tcW w:w="1225" w:type="pct"/>
            <w:noWrap/>
            <w:vAlign w:val="top"/>
            <w:hideMark/>
          </w:tcPr>
          <w:p w14:paraId="5DE58BD9" w14:textId="23EFE5E2" w:rsidR="00D917CF" w:rsidRPr="00A30073" w:rsidRDefault="00D917CF" w:rsidP="00D917C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 xml:space="preserve">Calculated based on Turner et al 2014 and NICE clinical guideline No. 139 </w:t>
            </w:r>
            <w:r w:rsidRPr="00A30073">
              <w:rPr>
                <w:rFonts w:cstheme="minorHAnsi"/>
                <w:color w:val="000000"/>
                <w:lang w:eastAsia="en-GB"/>
              </w:rPr>
              <w:fldChar w:fldCharType="begin">
                <w:fldData xml:space="preserve">PEVuZE5vdGU+PENpdGU+PEF1dGhvcj5UdXJuZXI8L0F1dGhvcj48WWVhcj4yMDE0PC9ZZWFyPjxS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</w:fldData>
              </w:fldChar>
            </w:r>
            <w:r w:rsidRPr="00A30073">
              <w:rPr>
                <w:rFonts w:asciiTheme="minorHAnsi" w:hAnsiTheme="minorHAnsi" w:cstheme="minorHAnsi"/>
                <w:color w:val="000000"/>
                <w:sz w:val="22"/>
                <w:szCs w:val="22"/>
                <w:lang w:val="en-GB" w:eastAsia="en-GB"/>
              </w:rPr>
              <w:instrText xml:space="preserve"> ADDIN EN.CITE </w:instrText>
            </w:r>
            <w:r w:rsidRPr="00A30073">
              <w:rPr>
                <w:rFonts w:cstheme="minorHAnsi"/>
                <w:color w:val="000000"/>
                <w:lang w:eastAsia="en-GB"/>
              </w:rPr>
              <w:fldChar w:fldCharType="begin">
                <w:fldData xml:space="preserve">PEVuZE5vdGU+PENpdGU+PEF1dGhvcj5UdXJuZXI8L0F1dGhvcj48WWVhcj4yMDE0PC9ZZWFyPjxS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</w:fldData>
              </w:fldChar>
            </w:r>
            <w:r w:rsidRPr="00A30073">
              <w:rPr>
                <w:rFonts w:asciiTheme="minorHAnsi" w:hAnsiTheme="minorHAnsi" w:cstheme="minorHAnsi"/>
                <w:color w:val="000000"/>
                <w:sz w:val="22"/>
                <w:szCs w:val="22"/>
                <w:lang w:val="en-GB" w:eastAsia="en-GB"/>
              </w:rPr>
              <w:instrText xml:space="preserve"> ADDIN EN.CITE.DATA </w:instrText>
            </w:r>
            <w:r w:rsidRPr="00A30073">
              <w:rPr>
                <w:rFonts w:cstheme="minorHAnsi"/>
                <w:color w:val="000000"/>
                <w:lang w:eastAsia="en-GB"/>
              </w:rPr>
            </w:r>
            <w:r w:rsidRPr="00A30073">
              <w:rPr>
                <w:rFonts w:cstheme="minorHAnsi"/>
                <w:color w:val="000000"/>
                <w:lang w:eastAsia="en-GB"/>
              </w:rPr>
              <w:fldChar w:fldCharType="end"/>
            </w:r>
            <w:r w:rsidRPr="00A30073">
              <w:rPr>
                <w:rFonts w:cstheme="minorHAnsi"/>
                <w:color w:val="000000"/>
                <w:lang w:eastAsia="en-GB"/>
              </w:rPr>
            </w:r>
            <w:r w:rsidRPr="00A30073">
              <w:rPr>
                <w:rFonts w:cstheme="minorHAnsi"/>
                <w:color w:val="000000"/>
                <w:lang w:eastAsia="en-GB"/>
              </w:rPr>
              <w:fldChar w:fldCharType="separate"/>
            </w:r>
            <w:r w:rsidRPr="00A30073">
              <w:rPr>
                <w:rFonts w:asciiTheme="minorHAnsi" w:hAnsiTheme="minorHAnsi" w:cstheme="minorHAnsi"/>
                <w:noProof/>
                <w:color w:val="000000"/>
                <w:sz w:val="22"/>
                <w:szCs w:val="22"/>
                <w:lang w:val="en-GB" w:eastAsia="en-GB"/>
              </w:rPr>
              <w:t>(5, 6)</w:t>
            </w:r>
            <w:r w:rsidRPr="00A30073">
              <w:rPr>
                <w:rFonts w:cstheme="minorHAnsi"/>
                <w:color w:val="000000"/>
                <w:lang w:eastAsia="en-GB"/>
              </w:rPr>
              <w:fldChar w:fldCharType="end"/>
            </w:r>
          </w:p>
        </w:tc>
      </w:tr>
    </w:tbl>
    <w:p w14:paraId="54B7CC87" w14:textId="6F382BAF" w:rsidR="001A24F0" w:rsidRPr="00A30073" w:rsidRDefault="006D0CC2" w:rsidP="004733FA">
      <w:pPr>
        <w:tabs>
          <w:tab w:val="left" w:pos="5520"/>
        </w:tabs>
        <w:spacing w:line="240" w:lineRule="auto"/>
        <w:rPr>
          <w:rFonts w:cstheme="minorHAnsi"/>
          <w:sz w:val="16"/>
          <w:szCs w:val="16"/>
        </w:rPr>
      </w:pPr>
      <w:r w:rsidRPr="00A30073">
        <w:rPr>
          <w:rFonts w:cstheme="minorHAnsi"/>
          <w:sz w:val="16"/>
          <w:szCs w:val="16"/>
        </w:rPr>
        <w:t>DisU: disutility of an event; U: health state utility;Amp – Amputation; BDR -Background Retinopathy; PDR- Proliferative Diabetic Retinopathy; CHF - Congestive heart failure; GUI- Genital and urinary infection; HF-Heart failure; HD – Hemodialisis; PD- Peritoneal dialysis; MA – Microalbuminuria; ME - Macular Edema; MI - Myocardial infarction; NSHE- Non-Severe Hypoglycemia; PDR - Proliferative diabetic retinopathy; PVD - Peripheral vascular disease; RT - Renal transplant; PD - Peritoneal dialysis; SVL - Severe vision loss; SHE- Severe hypoglycemia</w:t>
      </w:r>
    </w:p>
    <w:p w14:paraId="4B356755" w14:textId="28F66265" w:rsidR="001A24F0" w:rsidRPr="00A30073" w:rsidRDefault="001A24F0" w:rsidP="001A24F0">
      <w:pPr>
        <w:pStyle w:val="Heading2"/>
        <w:numPr>
          <w:ilvl w:val="0"/>
          <w:numId w:val="1"/>
        </w:numPr>
        <w:rPr>
          <w:color w:val="auto"/>
        </w:rPr>
      </w:pPr>
      <w:r w:rsidRPr="00A30073">
        <w:rPr>
          <w:color w:val="auto"/>
        </w:rPr>
        <w:t xml:space="preserve">Cost data </w:t>
      </w:r>
    </w:p>
    <w:p w14:paraId="0F297F62" w14:textId="77777777" w:rsidR="001A24F0" w:rsidRPr="00A30073" w:rsidRDefault="001A24F0" w:rsidP="001A24F0"/>
    <w:p w14:paraId="3DD80597" w14:textId="4608848B" w:rsidR="001A24F0" w:rsidRPr="00A30073" w:rsidRDefault="001A24F0" w:rsidP="001A24F0">
      <w:r w:rsidRPr="00A30073">
        <w:t>Table S</w:t>
      </w:r>
      <w:r w:rsidRPr="00A30073">
        <w:rPr>
          <w:lang w:val="en-US"/>
        </w:rPr>
        <w:t>3: Management costs, Diabetes related complication costs and adverse event costs</w:t>
      </w:r>
    </w:p>
    <w:tbl>
      <w:tblPr>
        <w:tblStyle w:val="Scientific"/>
        <w:tblW w:w="9027" w:type="dxa"/>
        <w:tblLayout w:type="fixed"/>
        <w:tblLook w:val="04A0" w:firstRow="1" w:lastRow="0" w:firstColumn="1" w:lastColumn="0" w:noHBand="0" w:noVBand="1"/>
      </w:tblPr>
      <w:tblGrid>
        <w:gridCol w:w="4678"/>
        <w:gridCol w:w="1134"/>
        <w:gridCol w:w="3215"/>
      </w:tblGrid>
      <w:tr w:rsidR="001A24F0" w:rsidRPr="00A30073" w14:paraId="059B1072" w14:textId="77777777" w:rsidTr="00AE5D70">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235B49AC" w14:textId="77777777" w:rsidR="001A24F0" w:rsidRPr="00A30073" w:rsidRDefault="001A24F0" w:rsidP="00AE5D70">
            <w:pPr>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lastRenderedPageBreak/>
              <w:t>Variable</w:t>
            </w:r>
          </w:p>
        </w:tc>
        <w:tc>
          <w:tcPr>
            <w:tcW w:w="1134" w:type="dxa"/>
            <w:noWrap/>
            <w:vAlign w:val="top"/>
            <w:hideMark/>
          </w:tcPr>
          <w:p w14:paraId="002620D5" w14:textId="77777777" w:rsidR="001A24F0" w:rsidRPr="00A30073" w:rsidRDefault="001A24F0" w:rsidP="00AE5D7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22"/>
                <w:szCs w:val="22"/>
                <w:lang w:val="en-GB" w:eastAsia="en-GB"/>
              </w:rPr>
            </w:pPr>
            <w:r w:rsidRPr="00A30073">
              <w:rPr>
                <w:rFonts w:asciiTheme="minorHAnsi" w:hAnsiTheme="minorHAnsi" w:cstheme="minorHAnsi"/>
                <w:color w:val="000000"/>
                <w:sz w:val="22"/>
                <w:szCs w:val="22"/>
                <w:lang w:val="en-GB" w:eastAsia="en-GB"/>
              </w:rPr>
              <w:t>Value</w:t>
            </w:r>
          </w:p>
          <w:p w14:paraId="51C63A95" w14:textId="77777777" w:rsidR="001A24F0" w:rsidRPr="00A30073" w:rsidRDefault="001A24F0" w:rsidP="00AE5D7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(20</w:t>
            </w:r>
            <w:r w:rsidRPr="00A30073">
              <w:rPr>
                <w:rFonts w:asciiTheme="minorHAnsi" w:hAnsiTheme="minorHAnsi" w:cstheme="minorHAnsi"/>
                <w:color w:val="000000"/>
                <w:sz w:val="22"/>
                <w:szCs w:val="22"/>
                <w:lang w:eastAsia="en-GB"/>
              </w:rPr>
              <w:t>20</w:t>
            </w:r>
            <w:r w:rsidRPr="00A30073">
              <w:rPr>
                <w:rFonts w:asciiTheme="minorHAnsi" w:hAnsiTheme="minorHAnsi" w:cstheme="minorHAnsi"/>
                <w:color w:val="000000"/>
                <w:sz w:val="22"/>
                <w:szCs w:val="22"/>
                <w:lang w:val="en-GB" w:eastAsia="en-GB"/>
              </w:rPr>
              <w:t xml:space="preserve"> CNY)</w:t>
            </w:r>
          </w:p>
        </w:tc>
        <w:tc>
          <w:tcPr>
            <w:tcW w:w="3215" w:type="dxa"/>
            <w:noWrap/>
            <w:vAlign w:val="top"/>
            <w:hideMark/>
          </w:tcPr>
          <w:p w14:paraId="3CC2509B" w14:textId="77777777" w:rsidR="001A24F0" w:rsidRPr="00A30073" w:rsidRDefault="001A24F0" w:rsidP="00AE5D70">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r w:rsidRPr="00A30073">
              <w:rPr>
                <w:rFonts w:asciiTheme="minorHAnsi" w:hAnsiTheme="minorHAnsi" w:cstheme="minorHAnsi"/>
                <w:color w:val="000000"/>
                <w:sz w:val="22"/>
                <w:szCs w:val="22"/>
                <w:lang w:val="en-GB" w:eastAsia="en-GB"/>
              </w:rPr>
              <w:t>Reference</w:t>
            </w:r>
          </w:p>
        </w:tc>
      </w:tr>
      <w:tr w:rsidR="001A24F0" w:rsidRPr="00A30073" w14:paraId="780AD9AC"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28D2997E" w14:textId="77777777" w:rsidR="001A24F0" w:rsidRPr="00A30073" w:rsidRDefault="001A24F0" w:rsidP="00AE5D70">
            <w:pPr>
              <w:rPr>
                <w:rFonts w:asciiTheme="minorHAnsi" w:hAnsiTheme="minorHAnsi" w:cstheme="minorHAnsi"/>
                <w:color w:val="000000"/>
                <w:sz w:val="22"/>
                <w:szCs w:val="22"/>
                <w:lang w:val="en-GB" w:eastAsia="en-GB"/>
              </w:rPr>
            </w:pPr>
          </w:p>
        </w:tc>
        <w:tc>
          <w:tcPr>
            <w:tcW w:w="1134" w:type="dxa"/>
            <w:noWrap/>
            <w:vAlign w:val="top"/>
            <w:hideMark/>
          </w:tcPr>
          <w:p w14:paraId="32573377"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c>
          <w:tcPr>
            <w:tcW w:w="3215" w:type="dxa"/>
            <w:noWrap/>
            <w:vAlign w:val="top"/>
            <w:hideMark/>
          </w:tcPr>
          <w:p w14:paraId="565E3B04"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2"/>
                <w:szCs w:val="22"/>
                <w:lang w:val="en-GB" w:eastAsia="en-GB"/>
              </w:rPr>
            </w:pPr>
          </w:p>
        </w:tc>
      </w:tr>
      <w:tr w:rsidR="001A24F0" w:rsidRPr="00A30073" w14:paraId="6D28E562"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534D97CA" w14:textId="77777777" w:rsidR="001A24F0" w:rsidRPr="00A30073" w:rsidRDefault="001A24F0" w:rsidP="00AE5D70">
            <w:pPr>
              <w:rPr>
                <w:rFonts w:asciiTheme="minorHAnsi" w:hAnsiTheme="minorHAnsi" w:cstheme="minorHAnsi"/>
                <w:b/>
                <w:bCs/>
                <w:sz w:val="22"/>
                <w:szCs w:val="22"/>
                <w:lang w:val="en-GB" w:eastAsia="en-GB"/>
              </w:rPr>
            </w:pPr>
            <w:r w:rsidRPr="00A30073">
              <w:rPr>
                <w:rFonts w:asciiTheme="minorHAnsi" w:hAnsiTheme="minorHAnsi" w:cstheme="minorHAnsi"/>
                <w:b/>
                <w:bCs/>
                <w:sz w:val="22"/>
                <w:szCs w:val="22"/>
                <w:lang w:val="en-GB" w:eastAsia="en-GB"/>
              </w:rPr>
              <w:t>Management Costs</w:t>
            </w:r>
          </w:p>
        </w:tc>
        <w:tc>
          <w:tcPr>
            <w:tcW w:w="1134" w:type="dxa"/>
            <w:noWrap/>
            <w:vAlign w:val="top"/>
            <w:hideMark/>
          </w:tcPr>
          <w:p w14:paraId="62C50768"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c>
          <w:tcPr>
            <w:tcW w:w="3215" w:type="dxa"/>
            <w:noWrap/>
            <w:vAlign w:val="top"/>
            <w:hideMark/>
          </w:tcPr>
          <w:p w14:paraId="3BBA179E"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r>
      <w:tr w:rsidR="001A24F0" w:rsidRPr="00A30073" w14:paraId="663EE2FF"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54F4CA66"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Annual statins treatment (annual</w:t>
            </w:r>
          </w:p>
        </w:tc>
        <w:tc>
          <w:tcPr>
            <w:tcW w:w="1134" w:type="dxa"/>
            <w:noWrap/>
            <w:vAlign w:val="top"/>
            <w:hideMark/>
          </w:tcPr>
          <w:p w14:paraId="4E05972D"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1068.93</w:t>
            </w:r>
          </w:p>
        </w:tc>
        <w:tc>
          <w:tcPr>
            <w:tcW w:w="3215" w:type="dxa"/>
            <w:noWrap/>
            <w:vAlign w:val="top"/>
            <w:hideMark/>
          </w:tcPr>
          <w:p w14:paraId="4785774F"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Chinese simvastatin daily costs ×365</w:t>
            </w:r>
          </w:p>
        </w:tc>
      </w:tr>
      <w:tr w:rsidR="001A24F0" w:rsidRPr="00A30073" w14:paraId="1D17384D"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15972D8D"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Annual Aspirin</w:t>
            </w:r>
          </w:p>
        </w:tc>
        <w:tc>
          <w:tcPr>
            <w:tcW w:w="1134" w:type="dxa"/>
            <w:noWrap/>
            <w:vAlign w:val="top"/>
            <w:hideMark/>
          </w:tcPr>
          <w:p w14:paraId="63BB36B0"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219.00</w:t>
            </w:r>
          </w:p>
        </w:tc>
        <w:tc>
          <w:tcPr>
            <w:tcW w:w="3215" w:type="dxa"/>
            <w:noWrap/>
            <w:vAlign w:val="top"/>
            <w:hideMark/>
          </w:tcPr>
          <w:p w14:paraId="202DEE2F"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Chinese aspirin daily costs ×365</w:t>
            </w:r>
          </w:p>
        </w:tc>
      </w:tr>
      <w:tr w:rsidR="001A24F0" w:rsidRPr="00A30073" w14:paraId="11F50144"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1ED7906E"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Annual ACE inhibitor</w:t>
            </w:r>
          </w:p>
        </w:tc>
        <w:tc>
          <w:tcPr>
            <w:tcW w:w="1134" w:type="dxa"/>
            <w:noWrap/>
            <w:vAlign w:val="top"/>
            <w:hideMark/>
          </w:tcPr>
          <w:p w14:paraId="4ECC971D"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47.45</w:t>
            </w:r>
          </w:p>
        </w:tc>
        <w:tc>
          <w:tcPr>
            <w:tcW w:w="3215" w:type="dxa"/>
            <w:noWrap/>
            <w:vAlign w:val="top"/>
            <w:hideMark/>
          </w:tcPr>
          <w:p w14:paraId="19CE147F"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Chinese ramipril daily costs ×365</w:t>
            </w:r>
          </w:p>
        </w:tc>
      </w:tr>
      <w:tr w:rsidR="001A24F0" w:rsidRPr="00A30073" w14:paraId="68268ADC"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7F3E38DC"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Annual screening microalbuminuria</w:t>
            </w:r>
          </w:p>
        </w:tc>
        <w:tc>
          <w:tcPr>
            <w:tcW w:w="1134" w:type="dxa"/>
            <w:noWrap/>
            <w:vAlign w:val="top"/>
            <w:hideMark/>
          </w:tcPr>
          <w:p w14:paraId="111841BE"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40.00</w:t>
            </w:r>
          </w:p>
        </w:tc>
        <w:tc>
          <w:tcPr>
            <w:tcW w:w="3215" w:type="dxa"/>
            <w:noWrap/>
            <w:vAlign w:val="top"/>
            <w:hideMark/>
          </w:tcPr>
          <w:p w14:paraId="6A9EC633"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Local KOL survey</w:t>
            </w:r>
          </w:p>
        </w:tc>
      </w:tr>
      <w:tr w:rsidR="001A24F0" w:rsidRPr="00A30073" w14:paraId="31C300B3"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29AA0F30"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Annual screening macroalbuminuria</w:t>
            </w:r>
          </w:p>
        </w:tc>
        <w:tc>
          <w:tcPr>
            <w:tcW w:w="1134" w:type="dxa"/>
            <w:noWrap/>
            <w:vAlign w:val="top"/>
            <w:hideMark/>
          </w:tcPr>
          <w:p w14:paraId="7C15622D"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15.00</w:t>
            </w:r>
          </w:p>
        </w:tc>
        <w:tc>
          <w:tcPr>
            <w:tcW w:w="3215" w:type="dxa"/>
            <w:noWrap/>
            <w:vAlign w:val="top"/>
            <w:hideMark/>
          </w:tcPr>
          <w:p w14:paraId="5B644BF6"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Local KOL survey</w:t>
            </w:r>
          </w:p>
        </w:tc>
      </w:tr>
      <w:tr w:rsidR="001A24F0" w:rsidRPr="00A30073" w14:paraId="2AA46AA1"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20FE8ED3"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Annual eye screening</w:t>
            </w:r>
          </w:p>
        </w:tc>
        <w:tc>
          <w:tcPr>
            <w:tcW w:w="1134" w:type="dxa"/>
            <w:noWrap/>
            <w:vAlign w:val="top"/>
            <w:hideMark/>
          </w:tcPr>
          <w:p w14:paraId="60B9E62E"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60.00</w:t>
            </w:r>
          </w:p>
        </w:tc>
        <w:tc>
          <w:tcPr>
            <w:tcW w:w="3215" w:type="dxa"/>
            <w:noWrap/>
            <w:vAlign w:val="top"/>
            <w:hideMark/>
          </w:tcPr>
          <w:p w14:paraId="56C04F06"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Local KOL survey</w:t>
            </w:r>
          </w:p>
        </w:tc>
      </w:tr>
      <w:tr w:rsidR="001A24F0" w:rsidRPr="00A30073" w14:paraId="0F9F0AEB"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009B66FA" w14:textId="77777777" w:rsidR="001A24F0" w:rsidRPr="00A30073" w:rsidRDefault="001A24F0" w:rsidP="00AE5D70">
            <w:pPr>
              <w:rPr>
                <w:rFonts w:asciiTheme="minorHAnsi" w:hAnsiTheme="minorHAnsi" w:cstheme="minorHAnsi"/>
                <w:sz w:val="22"/>
                <w:szCs w:val="22"/>
                <w:lang w:val="en-GB" w:eastAsia="en-GB"/>
              </w:rPr>
            </w:pPr>
          </w:p>
        </w:tc>
        <w:tc>
          <w:tcPr>
            <w:tcW w:w="1134" w:type="dxa"/>
            <w:noWrap/>
            <w:vAlign w:val="top"/>
            <w:hideMark/>
          </w:tcPr>
          <w:p w14:paraId="64CA390B"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c>
          <w:tcPr>
            <w:tcW w:w="3215" w:type="dxa"/>
            <w:noWrap/>
            <w:vAlign w:val="top"/>
            <w:hideMark/>
          </w:tcPr>
          <w:p w14:paraId="3CFB4BFD"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r>
      <w:tr w:rsidR="001A24F0" w:rsidRPr="00A30073" w14:paraId="65BC80AB"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6372A353" w14:textId="77777777" w:rsidR="001A24F0" w:rsidRPr="00A30073" w:rsidRDefault="001A24F0" w:rsidP="00AE5D70">
            <w:pPr>
              <w:rPr>
                <w:rFonts w:asciiTheme="minorHAnsi" w:hAnsiTheme="minorHAnsi" w:cstheme="minorHAnsi"/>
                <w:b/>
                <w:bCs/>
                <w:sz w:val="22"/>
                <w:szCs w:val="22"/>
                <w:lang w:val="en-GB" w:eastAsia="en-GB"/>
              </w:rPr>
            </w:pPr>
            <w:r w:rsidRPr="00A30073">
              <w:rPr>
                <w:rFonts w:asciiTheme="minorHAnsi" w:hAnsiTheme="minorHAnsi" w:cstheme="minorHAnsi"/>
                <w:b/>
                <w:bCs/>
                <w:sz w:val="22"/>
                <w:szCs w:val="22"/>
                <w:lang w:val="en-GB" w:eastAsia="en-GB"/>
              </w:rPr>
              <w:t>Direct Costs CVD Complications</w:t>
            </w:r>
          </w:p>
        </w:tc>
        <w:tc>
          <w:tcPr>
            <w:tcW w:w="1134" w:type="dxa"/>
            <w:noWrap/>
            <w:vAlign w:val="top"/>
            <w:hideMark/>
          </w:tcPr>
          <w:p w14:paraId="3FF08BB5"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c>
          <w:tcPr>
            <w:tcW w:w="3215" w:type="dxa"/>
            <w:noWrap/>
            <w:vAlign w:val="top"/>
            <w:hideMark/>
          </w:tcPr>
          <w:p w14:paraId="0A2C6F75"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r>
      <w:tr w:rsidR="001A24F0" w:rsidRPr="00A30073" w14:paraId="6B3ABC3E"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0BA0FD8F"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Myocardial infarction 1st year</w:t>
            </w:r>
          </w:p>
        </w:tc>
        <w:tc>
          <w:tcPr>
            <w:tcW w:w="1134" w:type="dxa"/>
            <w:noWrap/>
            <w:vAlign w:val="top"/>
            <w:hideMark/>
          </w:tcPr>
          <w:p w14:paraId="3A2C1DD5"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32,517</w:t>
            </w:r>
          </w:p>
        </w:tc>
        <w:tc>
          <w:tcPr>
            <w:tcW w:w="3215" w:type="dxa"/>
            <w:noWrap/>
            <w:vAlign w:val="top"/>
            <w:hideMark/>
          </w:tcPr>
          <w:p w14:paraId="498147C6" w14:textId="5FCBF9AE"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7FAB5722"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2F57F030"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47549155"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Myocardial infarction 2nd+ years</w:t>
            </w:r>
          </w:p>
        </w:tc>
        <w:tc>
          <w:tcPr>
            <w:tcW w:w="1134" w:type="dxa"/>
            <w:noWrap/>
            <w:vAlign w:val="top"/>
            <w:hideMark/>
          </w:tcPr>
          <w:p w14:paraId="125838A2"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10,839</w:t>
            </w:r>
          </w:p>
        </w:tc>
        <w:tc>
          <w:tcPr>
            <w:tcW w:w="3215" w:type="dxa"/>
            <w:noWrap/>
            <w:vAlign w:val="top"/>
            <w:hideMark/>
          </w:tcPr>
          <w:p w14:paraId="5D814EA8" w14:textId="7AFF994C"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44B35886"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2DF3C111"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5BA61D4E"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Angina 1st year</w:t>
            </w:r>
          </w:p>
        </w:tc>
        <w:tc>
          <w:tcPr>
            <w:tcW w:w="1134" w:type="dxa"/>
            <w:noWrap/>
            <w:vAlign w:val="top"/>
            <w:hideMark/>
          </w:tcPr>
          <w:p w14:paraId="0EBF1833"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41,245</w:t>
            </w:r>
          </w:p>
        </w:tc>
        <w:tc>
          <w:tcPr>
            <w:tcW w:w="3215" w:type="dxa"/>
            <w:noWrap/>
            <w:vAlign w:val="top"/>
            <w:hideMark/>
          </w:tcPr>
          <w:p w14:paraId="54100E5B" w14:textId="3652B393"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07038AE2"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589F5A12"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7B426F28"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Angina 2nd+ years</w:t>
            </w:r>
          </w:p>
        </w:tc>
        <w:tc>
          <w:tcPr>
            <w:tcW w:w="1134" w:type="dxa"/>
            <w:noWrap/>
            <w:vAlign w:val="top"/>
            <w:hideMark/>
          </w:tcPr>
          <w:p w14:paraId="3EAF4466"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7,363</w:t>
            </w:r>
          </w:p>
        </w:tc>
        <w:tc>
          <w:tcPr>
            <w:tcW w:w="3215" w:type="dxa"/>
            <w:noWrap/>
            <w:vAlign w:val="top"/>
            <w:hideMark/>
          </w:tcPr>
          <w:p w14:paraId="64DFC210" w14:textId="66671248"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7724C4D0"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33455BB8"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744F3DC7"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Congestive heart failure 1st year</w:t>
            </w:r>
          </w:p>
        </w:tc>
        <w:tc>
          <w:tcPr>
            <w:tcW w:w="1134" w:type="dxa"/>
            <w:noWrap/>
            <w:vAlign w:val="top"/>
            <w:hideMark/>
          </w:tcPr>
          <w:p w14:paraId="1F01E1F2"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9,756</w:t>
            </w:r>
          </w:p>
        </w:tc>
        <w:tc>
          <w:tcPr>
            <w:tcW w:w="3215" w:type="dxa"/>
            <w:noWrap/>
            <w:vAlign w:val="top"/>
            <w:hideMark/>
          </w:tcPr>
          <w:p w14:paraId="2645D50F" w14:textId="64268ACE"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600B799D"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0D055816"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06DC79F7"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Congestive heart failure 2nd+ years</w:t>
            </w:r>
          </w:p>
        </w:tc>
        <w:tc>
          <w:tcPr>
            <w:tcW w:w="1134" w:type="dxa"/>
            <w:noWrap/>
            <w:vAlign w:val="top"/>
            <w:hideMark/>
          </w:tcPr>
          <w:p w14:paraId="533F9D38"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6,503</w:t>
            </w:r>
          </w:p>
        </w:tc>
        <w:tc>
          <w:tcPr>
            <w:tcW w:w="3215" w:type="dxa"/>
            <w:noWrap/>
            <w:vAlign w:val="top"/>
            <w:hideMark/>
          </w:tcPr>
          <w:p w14:paraId="4A7F58CA" w14:textId="0531DCDE"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127E295C"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433C4231"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2110F72C"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Stroke 1st year</w:t>
            </w:r>
          </w:p>
        </w:tc>
        <w:tc>
          <w:tcPr>
            <w:tcW w:w="1134" w:type="dxa"/>
            <w:noWrap/>
            <w:vAlign w:val="top"/>
            <w:hideMark/>
          </w:tcPr>
          <w:p w14:paraId="22E708C9"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19,165</w:t>
            </w:r>
          </w:p>
        </w:tc>
        <w:tc>
          <w:tcPr>
            <w:tcW w:w="3215" w:type="dxa"/>
            <w:noWrap/>
            <w:vAlign w:val="top"/>
            <w:hideMark/>
          </w:tcPr>
          <w:p w14:paraId="1448CA88" w14:textId="533247CC"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478E9022"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39588221"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79C42378"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Stroke 2nd+ years</w:t>
            </w:r>
          </w:p>
        </w:tc>
        <w:tc>
          <w:tcPr>
            <w:tcW w:w="1134" w:type="dxa"/>
            <w:noWrap/>
            <w:vAlign w:val="top"/>
            <w:hideMark/>
          </w:tcPr>
          <w:p w14:paraId="7491B258"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8,630</w:t>
            </w:r>
          </w:p>
        </w:tc>
        <w:tc>
          <w:tcPr>
            <w:tcW w:w="3215" w:type="dxa"/>
            <w:noWrap/>
            <w:vAlign w:val="top"/>
            <w:hideMark/>
          </w:tcPr>
          <w:p w14:paraId="1473CEA3" w14:textId="59A62CF1"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39CAEFA6"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3D6E40E2"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13850921"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Stroke death within 30 days</w:t>
            </w:r>
          </w:p>
        </w:tc>
        <w:tc>
          <w:tcPr>
            <w:tcW w:w="1134" w:type="dxa"/>
            <w:noWrap/>
            <w:vAlign w:val="top"/>
            <w:hideMark/>
          </w:tcPr>
          <w:p w14:paraId="71BBE1FF"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14,852</w:t>
            </w:r>
          </w:p>
        </w:tc>
        <w:tc>
          <w:tcPr>
            <w:tcW w:w="3215" w:type="dxa"/>
            <w:noWrap/>
            <w:vAlign w:val="top"/>
            <w:hideMark/>
          </w:tcPr>
          <w:p w14:paraId="4FD9D784" w14:textId="29FF2CE9"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732DC1BC"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297FF244"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49BBF40B"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Peripheral vascular disease 1st year</w:t>
            </w:r>
          </w:p>
        </w:tc>
        <w:tc>
          <w:tcPr>
            <w:tcW w:w="1134" w:type="dxa"/>
            <w:noWrap/>
            <w:vAlign w:val="top"/>
            <w:hideMark/>
          </w:tcPr>
          <w:p w14:paraId="4A8E30F2"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25,390</w:t>
            </w:r>
          </w:p>
        </w:tc>
        <w:tc>
          <w:tcPr>
            <w:tcW w:w="3215" w:type="dxa"/>
            <w:noWrap/>
            <w:vAlign w:val="top"/>
            <w:hideMark/>
          </w:tcPr>
          <w:p w14:paraId="4BF8A3C8" w14:textId="419B3B69"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1CB010C4"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4692F4A1"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2C7DE3FC"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Peripheral vascular disease 2nd+ years</w:t>
            </w:r>
          </w:p>
        </w:tc>
        <w:tc>
          <w:tcPr>
            <w:tcW w:w="1134" w:type="dxa"/>
            <w:noWrap/>
            <w:vAlign w:val="top"/>
            <w:hideMark/>
          </w:tcPr>
          <w:p w14:paraId="74A006BF"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9,869</w:t>
            </w:r>
          </w:p>
        </w:tc>
        <w:tc>
          <w:tcPr>
            <w:tcW w:w="3215" w:type="dxa"/>
            <w:noWrap/>
            <w:vAlign w:val="top"/>
            <w:hideMark/>
          </w:tcPr>
          <w:p w14:paraId="3A2FC32D" w14:textId="5625BD94"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555F5D81"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00B77687"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0EBFAB5E" w14:textId="77777777" w:rsidR="001A24F0" w:rsidRPr="00A30073" w:rsidRDefault="001A24F0" w:rsidP="00AE5D70">
            <w:pPr>
              <w:rPr>
                <w:rFonts w:asciiTheme="minorHAnsi" w:hAnsiTheme="minorHAnsi" w:cstheme="minorHAnsi"/>
                <w:sz w:val="22"/>
                <w:szCs w:val="22"/>
                <w:lang w:val="fr-BE" w:eastAsia="en-GB"/>
              </w:rPr>
            </w:pPr>
          </w:p>
        </w:tc>
        <w:tc>
          <w:tcPr>
            <w:tcW w:w="1134" w:type="dxa"/>
            <w:noWrap/>
            <w:vAlign w:val="top"/>
            <w:hideMark/>
          </w:tcPr>
          <w:p w14:paraId="6A1DF7AF"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c>
          <w:tcPr>
            <w:tcW w:w="3215" w:type="dxa"/>
            <w:noWrap/>
            <w:vAlign w:val="top"/>
            <w:hideMark/>
          </w:tcPr>
          <w:p w14:paraId="1AB3D9CE"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55E4DB1A"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194ABF7C" w14:textId="77777777" w:rsidR="001A24F0" w:rsidRPr="00A30073" w:rsidRDefault="001A24F0" w:rsidP="00AE5D70">
            <w:pPr>
              <w:rPr>
                <w:rFonts w:asciiTheme="minorHAnsi" w:hAnsiTheme="minorHAnsi" w:cstheme="minorHAnsi"/>
                <w:b/>
                <w:bCs/>
                <w:sz w:val="22"/>
                <w:szCs w:val="22"/>
                <w:lang w:val="en-GB" w:eastAsia="en-GB"/>
              </w:rPr>
            </w:pPr>
            <w:r w:rsidRPr="00A30073">
              <w:rPr>
                <w:rFonts w:asciiTheme="minorHAnsi" w:hAnsiTheme="minorHAnsi" w:cstheme="minorHAnsi"/>
                <w:b/>
                <w:bCs/>
                <w:sz w:val="22"/>
                <w:szCs w:val="22"/>
                <w:lang w:val="en-GB" w:eastAsia="en-GB"/>
              </w:rPr>
              <w:t>Direct Costs Renal Complications</w:t>
            </w:r>
          </w:p>
        </w:tc>
        <w:tc>
          <w:tcPr>
            <w:tcW w:w="1134" w:type="dxa"/>
            <w:noWrap/>
            <w:vAlign w:val="top"/>
            <w:hideMark/>
          </w:tcPr>
          <w:p w14:paraId="63A0B27E"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c>
          <w:tcPr>
            <w:tcW w:w="3215" w:type="dxa"/>
            <w:noWrap/>
            <w:vAlign w:val="top"/>
            <w:hideMark/>
          </w:tcPr>
          <w:p w14:paraId="26EC64D4"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r>
      <w:tr w:rsidR="001A24F0" w:rsidRPr="00A30073" w14:paraId="09E2C46A"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47B6563A"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Haemodialysis 1st year</w:t>
            </w:r>
          </w:p>
        </w:tc>
        <w:tc>
          <w:tcPr>
            <w:tcW w:w="1134" w:type="dxa"/>
            <w:noWrap/>
            <w:vAlign w:val="top"/>
            <w:hideMark/>
          </w:tcPr>
          <w:p w14:paraId="3916CA7C"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85,285</w:t>
            </w:r>
          </w:p>
        </w:tc>
        <w:tc>
          <w:tcPr>
            <w:tcW w:w="3215" w:type="dxa"/>
            <w:noWrap/>
            <w:vAlign w:val="top"/>
            <w:hideMark/>
          </w:tcPr>
          <w:p w14:paraId="3A62C19A" w14:textId="2EE966C6"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79AA0084"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25246816"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5B95BEBE"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Haemodialysis 2+ years</w:t>
            </w:r>
          </w:p>
        </w:tc>
        <w:tc>
          <w:tcPr>
            <w:tcW w:w="1134" w:type="dxa"/>
            <w:noWrap/>
            <w:vAlign w:val="top"/>
            <w:hideMark/>
          </w:tcPr>
          <w:p w14:paraId="1AC36D9F"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72,001</w:t>
            </w:r>
          </w:p>
        </w:tc>
        <w:tc>
          <w:tcPr>
            <w:tcW w:w="3215" w:type="dxa"/>
            <w:noWrap/>
            <w:vAlign w:val="top"/>
            <w:hideMark/>
          </w:tcPr>
          <w:p w14:paraId="56512422" w14:textId="054C3363"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01E40F1C"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107B7FB1"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00B9CF58"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Peritoneal dialysis 1st year</w:t>
            </w:r>
          </w:p>
        </w:tc>
        <w:tc>
          <w:tcPr>
            <w:tcW w:w="1134" w:type="dxa"/>
            <w:noWrap/>
            <w:vAlign w:val="top"/>
            <w:hideMark/>
          </w:tcPr>
          <w:p w14:paraId="735401B0"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59,168</w:t>
            </w:r>
          </w:p>
        </w:tc>
        <w:tc>
          <w:tcPr>
            <w:tcW w:w="3215" w:type="dxa"/>
            <w:noWrap/>
            <w:vAlign w:val="top"/>
            <w:hideMark/>
          </w:tcPr>
          <w:p w14:paraId="78D1A8E8" w14:textId="01B33371"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1E49CE49"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643770DB"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6CDE737A"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Peritoneal dialysis 2+ years</w:t>
            </w:r>
          </w:p>
        </w:tc>
        <w:tc>
          <w:tcPr>
            <w:tcW w:w="1134" w:type="dxa"/>
            <w:noWrap/>
            <w:vAlign w:val="top"/>
            <w:hideMark/>
          </w:tcPr>
          <w:p w14:paraId="2D0108C8"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48,259</w:t>
            </w:r>
          </w:p>
        </w:tc>
        <w:tc>
          <w:tcPr>
            <w:tcW w:w="3215" w:type="dxa"/>
            <w:noWrap/>
            <w:vAlign w:val="top"/>
            <w:hideMark/>
          </w:tcPr>
          <w:p w14:paraId="1BBAA511" w14:textId="0BB2418E"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625B50CB"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7ACB7AD0"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3DF17E17"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Renal transplant costs 1st year</w:t>
            </w:r>
          </w:p>
        </w:tc>
        <w:tc>
          <w:tcPr>
            <w:tcW w:w="1134" w:type="dxa"/>
            <w:noWrap/>
            <w:vAlign w:val="top"/>
            <w:hideMark/>
          </w:tcPr>
          <w:p w14:paraId="747F0DD9"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256,204</w:t>
            </w:r>
          </w:p>
        </w:tc>
        <w:tc>
          <w:tcPr>
            <w:tcW w:w="3215" w:type="dxa"/>
            <w:noWrap/>
            <w:vAlign w:val="top"/>
            <w:hideMark/>
          </w:tcPr>
          <w:p w14:paraId="49432156" w14:textId="4A8724E1"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2F62C279"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37380FB1"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6B337C1D"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Renal transplant 2+ years</w:t>
            </w:r>
          </w:p>
        </w:tc>
        <w:tc>
          <w:tcPr>
            <w:tcW w:w="1134" w:type="dxa"/>
            <w:noWrap/>
            <w:vAlign w:val="top"/>
            <w:hideMark/>
          </w:tcPr>
          <w:p w14:paraId="312D5CCC"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67,755</w:t>
            </w:r>
          </w:p>
        </w:tc>
        <w:tc>
          <w:tcPr>
            <w:tcW w:w="3215" w:type="dxa"/>
            <w:noWrap/>
            <w:vAlign w:val="top"/>
            <w:hideMark/>
          </w:tcPr>
          <w:p w14:paraId="344DC61E" w14:textId="0B4B648B"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26B635BB"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6ED9CA15"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7CBEBB16" w14:textId="77777777" w:rsidR="001A24F0" w:rsidRPr="00A30073" w:rsidRDefault="001A24F0" w:rsidP="00AE5D70">
            <w:pPr>
              <w:rPr>
                <w:rFonts w:asciiTheme="minorHAnsi" w:hAnsiTheme="minorHAnsi" w:cstheme="minorHAnsi"/>
                <w:sz w:val="22"/>
                <w:szCs w:val="22"/>
                <w:lang w:val="fr-BE" w:eastAsia="en-GB"/>
              </w:rPr>
            </w:pPr>
          </w:p>
        </w:tc>
        <w:tc>
          <w:tcPr>
            <w:tcW w:w="1134" w:type="dxa"/>
            <w:noWrap/>
            <w:vAlign w:val="top"/>
            <w:hideMark/>
          </w:tcPr>
          <w:p w14:paraId="3C1C2744"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c>
          <w:tcPr>
            <w:tcW w:w="3215" w:type="dxa"/>
            <w:noWrap/>
            <w:vAlign w:val="top"/>
            <w:hideMark/>
          </w:tcPr>
          <w:p w14:paraId="1F1B2150"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66C473D6"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342A8788" w14:textId="77777777" w:rsidR="001A24F0" w:rsidRPr="00A30073" w:rsidRDefault="001A24F0" w:rsidP="00AE5D70">
            <w:pPr>
              <w:rPr>
                <w:rFonts w:asciiTheme="minorHAnsi" w:hAnsiTheme="minorHAnsi" w:cstheme="minorHAnsi"/>
                <w:b/>
                <w:bCs/>
                <w:sz w:val="22"/>
                <w:szCs w:val="22"/>
                <w:lang w:val="en-GB" w:eastAsia="en-GB"/>
              </w:rPr>
            </w:pPr>
            <w:r w:rsidRPr="00A30073">
              <w:rPr>
                <w:rFonts w:asciiTheme="minorHAnsi" w:hAnsiTheme="minorHAnsi" w:cstheme="minorHAnsi"/>
                <w:b/>
                <w:bCs/>
                <w:sz w:val="22"/>
                <w:szCs w:val="22"/>
                <w:lang w:val="en-GB" w:eastAsia="en-GB"/>
              </w:rPr>
              <w:t>Direct Costs Acute Events</w:t>
            </w:r>
          </w:p>
        </w:tc>
        <w:tc>
          <w:tcPr>
            <w:tcW w:w="1134" w:type="dxa"/>
            <w:noWrap/>
            <w:vAlign w:val="top"/>
            <w:hideMark/>
          </w:tcPr>
          <w:p w14:paraId="5E9E48A4"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c>
          <w:tcPr>
            <w:tcW w:w="3215" w:type="dxa"/>
            <w:noWrap/>
            <w:vAlign w:val="top"/>
            <w:hideMark/>
          </w:tcPr>
          <w:p w14:paraId="7955AC6B"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r>
      <w:tr w:rsidR="001A24F0" w:rsidRPr="00A30073" w14:paraId="13AFD67C"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199CD966"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Non-severe hypoglycaemic event</w:t>
            </w:r>
          </w:p>
        </w:tc>
        <w:tc>
          <w:tcPr>
            <w:tcW w:w="1134" w:type="dxa"/>
            <w:noWrap/>
            <w:vAlign w:val="top"/>
            <w:hideMark/>
          </w:tcPr>
          <w:p w14:paraId="314CCCD0"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eastAsia="en-GB"/>
              </w:rPr>
            </w:pPr>
            <w:r w:rsidRPr="00A30073">
              <w:rPr>
                <w:rFonts w:asciiTheme="minorHAnsi" w:hAnsiTheme="minorHAnsi" w:cstheme="minorHAnsi"/>
                <w:sz w:val="22"/>
                <w:szCs w:val="22"/>
                <w:lang w:val="en-GB" w:eastAsia="en-GB"/>
              </w:rPr>
              <w:t>1</w:t>
            </w:r>
            <w:r w:rsidRPr="00A30073">
              <w:rPr>
                <w:rFonts w:asciiTheme="minorHAnsi" w:hAnsiTheme="minorHAnsi" w:cstheme="minorHAnsi"/>
                <w:sz w:val="22"/>
                <w:szCs w:val="22"/>
                <w:lang w:eastAsia="en-GB"/>
              </w:rPr>
              <w:t>82</w:t>
            </w:r>
          </w:p>
        </w:tc>
        <w:tc>
          <w:tcPr>
            <w:tcW w:w="3215" w:type="dxa"/>
            <w:noWrap/>
            <w:vAlign w:val="top"/>
            <w:hideMark/>
          </w:tcPr>
          <w:p w14:paraId="6A5A0839" w14:textId="140AEA26"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1AFA698C"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1190BDB2"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5BC4167B"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Severe hypoglycemic event 1 (requiring non-medical assistance)</w:t>
            </w:r>
          </w:p>
        </w:tc>
        <w:tc>
          <w:tcPr>
            <w:tcW w:w="1134" w:type="dxa"/>
            <w:noWrap/>
            <w:vAlign w:val="top"/>
            <w:hideMark/>
          </w:tcPr>
          <w:p w14:paraId="0C9F58CF"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eastAsia="en-GB"/>
              </w:rPr>
            </w:pPr>
            <w:r w:rsidRPr="00A30073">
              <w:rPr>
                <w:rFonts w:asciiTheme="minorHAnsi" w:hAnsiTheme="minorHAnsi" w:cstheme="minorHAnsi"/>
                <w:sz w:val="22"/>
                <w:szCs w:val="22"/>
                <w:lang w:eastAsia="en-GB"/>
              </w:rPr>
              <w:t>182</w:t>
            </w:r>
          </w:p>
        </w:tc>
        <w:tc>
          <w:tcPr>
            <w:tcW w:w="3215" w:type="dxa"/>
            <w:noWrap/>
            <w:vAlign w:val="top"/>
            <w:hideMark/>
          </w:tcPr>
          <w:p w14:paraId="581EB4CB" w14:textId="0E2BFA6B"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2D0AC768"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1567E906"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78CA1221"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Severe hypoglycemic event 2 (requiring  medical assistance)</w:t>
            </w:r>
          </w:p>
        </w:tc>
        <w:tc>
          <w:tcPr>
            <w:tcW w:w="1134" w:type="dxa"/>
            <w:noWrap/>
            <w:vAlign w:val="top"/>
            <w:hideMark/>
          </w:tcPr>
          <w:p w14:paraId="7B266C3A"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eastAsia="en-GB"/>
              </w:rPr>
            </w:pPr>
            <w:r w:rsidRPr="00A30073">
              <w:rPr>
                <w:rFonts w:asciiTheme="minorHAnsi" w:hAnsiTheme="minorHAnsi" w:cstheme="minorHAnsi"/>
                <w:sz w:val="22"/>
                <w:szCs w:val="22"/>
                <w:lang w:eastAsia="en-GB"/>
              </w:rPr>
              <w:t>3,869</w:t>
            </w:r>
          </w:p>
        </w:tc>
        <w:tc>
          <w:tcPr>
            <w:tcW w:w="3215" w:type="dxa"/>
            <w:noWrap/>
            <w:vAlign w:val="top"/>
            <w:hideMark/>
          </w:tcPr>
          <w:p w14:paraId="0C12F12C" w14:textId="54AEAA79"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4DBAE173"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10705F06"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4E634267"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Urinary Tract Infection + Genital Infection</w:t>
            </w:r>
          </w:p>
        </w:tc>
        <w:tc>
          <w:tcPr>
            <w:tcW w:w="1134" w:type="dxa"/>
            <w:noWrap/>
            <w:vAlign w:val="top"/>
            <w:hideMark/>
          </w:tcPr>
          <w:p w14:paraId="50F73E3C"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9</w:t>
            </w:r>
          </w:p>
        </w:tc>
        <w:tc>
          <w:tcPr>
            <w:tcW w:w="3215" w:type="dxa"/>
            <w:noWrap/>
            <w:vAlign w:val="top"/>
            <w:hideMark/>
          </w:tcPr>
          <w:p w14:paraId="381B7550" w14:textId="26A1ABE4"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 xml:space="preserve">Chinese Procurement Website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&lt;EndNote&gt;&lt;Cite&gt;&lt;Author&gt;Drug Price Network&lt;/Author&gt;&lt;Year&gt;2018&lt;/Year&gt;&lt;RecNum&gt;501&lt;/RecNum&gt;&lt;DisplayText&gt;(2)&lt;/DisplayText&gt;&lt;record&gt;&lt;rec-number&gt;501&lt;/rec-number&gt;&lt;foreign-keys&gt;&lt;key app="EN" db-id="x00avpz24e2sr7et29mv9tejtfp0pefaadrf" timestamp="1549543338"&gt;501&lt;/key&gt;&lt;/foreign-keys&gt;&lt;ref-type name="Web Page"&gt;12&lt;/ref-type&gt;&lt;contributors&gt;&lt;authors&gt;&lt;author&gt;Drug Price Network,&lt;/author&gt;&lt;/authors&gt;&lt;/contributors&gt;&lt;titles&gt;&lt;/titles&gt;&lt;dates&gt;&lt;year&gt;2018&lt;/year&gt;&lt;/dates&gt;&lt;urls&gt;&lt;related-urls&gt;&lt;url&gt;&lt;style face="underline" font="default" size="100%"&gt;https://www.315jiage.cn&lt;/style&gt;&lt;/url&gt;&lt;/related-urls&gt;&lt;/urls&gt;&lt;/record&gt;&lt;/Cite&gt;&lt;/EndNote&gt;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(9)</w:t>
            </w:r>
            <w:r w:rsidRPr="00A30073">
              <w:rPr>
                <w:rFonts w:cstheme="minorHAnsi"/>
                <w:lang w:eastAsia="en-GB"/>
              </w:rPr>
              <w:fldChar w:fldCharType="end"/>
            </w:r>
          </w:p>
        </w:tc>
      </w:tr>
      <w:tr w:rsidR="001A24F0" w:rsidRPr="00A30073" w14:paraId="4D79EF57"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41FA1E4E" w14:textId="77777777" w:rsidR="001A24F0" w:rsidRPr="00A30073" w:rsidRDefault="001A24F0" w:rsidP="00AE5D70">
            <w:pPr>
              <w:rPr>
                <w:rFonts w:asciiTheme="minorHAnsi" w:hAnsiTheme="minorHAnsi" w:cstheme="minorHAnsi"/>
                <w:sz w:val="22"/>
                <w:szCs w:val="22"/>
                <w:lang w:val="en-GB" w:eastAsia="en-GB"/>
              </w:rPr>
            </w:pPr>
          </w:p>
        </w:tc>
        <w:tc>
          <w:tcPr>
            <w:tcW w:w="1134" w:type="dxa"/>
            <w:noWrap/>
            <w:vAlign w:val="top"/>
            <w:hideMark/>
          </w:tcPr>
          <w:p w14:paraId="336967DC"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c>
          <w:tcPr>
            <w:tcW w:w="3215" w:type="dxa"/>
            <w:noWrap/>
            <w:vAlign w:val="top"/>
            <w:hideMark/>
          </w:tcPr>
          <w:p w14:paraId="6DC22E5F"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r>
      <w:tr w:rsidR="001A24F0" w:rsidRPr="00A30073" w14:paraId="283DDBFA"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59DFCE1F" w14:textId="77777777" w:rsidR="001A24F0" w:rsidRPr="00A30073" w:rsidRDefault="001A24F0" w:rsidP="00AE5D70">
            <w:pPr>
              <w:rPr>
                <w:rFonts w:asciiTheme="minorHAnsi" w:hAnsiTheme="minorHAnsi" w:cstheme="minorHAnsi"/>
                <w:b/>
                <w:bCs/>
                <w:sz w:val="22"/>
                <w:szCs w:val="22"/>
                <w:lang w:val="en-GB" w:eastAsia="en-GB"/>
              </w:rPr>
            </w:pPr>
            <w:r w:rsidRPr="00A30073">
              <w:rPr>
                <w:rFonts w:asciiTheme="minorHAnsi" w:hAnsiTheme="minorHAnsi" w:cstheme="minorHAnsi"/>
                <w:b/>
                <w:bCs/>
                <w:sz w:val="22"/>
                <w:szCs w:val="22"/>
                <w:lang w:val="en-GB" w:eastAsia="en-GB"/>
              </w:rPr>
              <w:t>Direct Costs Eye Disease</w:t>
            </w:r>
          </w:p>
        </w:tc>
        <w:tc>
          <w:tcPr>
            <w:tcW w:w="1134" w:type="dxa"/>
            <w:noWrap/>
            <w:vAlign w:val="top"/>
            <w:hideMark/>
          </w:tcPr>
          <w:p w14:paraId="79F35C37"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c>
          <w:tcPr>
            <w:tcW w:w="3215" w:type="dxa"/>
            <w:noWrap/>
            <w:vAlign w:val="top"/>
            <w:hideMark/>
          </w:tcPr>
          <w:p w14:paraId="0825ABD6"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r>
      <w:tr w:rsidR="001A24F0" w:rsidRPr="00A30073" w14:paraId="4C609D24"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682CD83D"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Laser treatment</w:t>
            </w:r>
          </w:p>
        </w:tc>
        <w:tc>
          <w:tcPr>
            <w:tcW w:w="1134" w:type="dxa"/>
            <w:noWrap/>
            <w:vAlign w:val="top"/>
            <w:hideMark/>
          </w:tcPr>
          <w:p w14:paraId="1B7094DF"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2,391</w:t>
            </w:r>
          </w:p>
        </w:tc>
        <w:tc>
          <w:tcPr>
            <w:tcW w:w="3215" w:type="dxa"/>
            <w:noWrap/>
            <w:vAlign w:val="top"/>
            <w:hideMark/>
          </w:tcPr>
          <w:p w14:paraId="490BFA64" w14:textId="58AF861D"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6B919DD3"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4ED6CF21"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317940BA"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Cataract operation</w:t>
            </w:r>
          </w:p>
        </w:tc>
        <w:tc>
          <w:tcPr>
            <w:tcW w:w="1134" w:type="dxa"/>
            <w:noWrap/>
            <w:vAlign w:val="top"/>
            <w:hideMark/>
          </w:tcPr>
          <w:p w14:paraId="13B4E076"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7,529</w:t>
            </w:r>
          </w:p>
        </w:tc>
        <w:tc>
          <w:tcPr>
            <w:tcW w:w="3215" w:type="dxa"/>
            <w:noWrap/>
            <w:vAlign w:val="top"/>
            <w:hideMark/>
          </w:tcPr>
          <w:p w14:paraId="1D13CDE2" w14:textId="2EC3FD3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1BCE27BA"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40F64CC8"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21D5068C"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Following cataract operation</w:t>
            </w:r>
          </w:p>
        </w:tc>
        <w:tc>
          <w:tcPr>
            <w:tcW w:w="1134" w:type="dxa"/>
            <w:noWrap/>
            <w:vAlign w:val="top"/>
            <w:hideMark/>
          </w:tcPr>
          <w:p w14:paraId="0468EF5F"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197</w:t>
            </w:r>
          </w:p>
        </w:tc>
        <w:tc>
          <w:tcPr>
            <w:tcW w:w="3215" w:type="dxa"/>
            <w:noWrap/>
            <w:vAlign w:val="top"/>
            <w:hideMark/>
          </w:tcPr>
          <w:p w14:paraId="48B3C011" w14:textId="3B3B9FE4"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32DC1AA0"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5DF7E74F"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43EC7AA2"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Blindness - year of onset</w:t>
            </w:r>
          </w:p>
        </w:tc>
        <w:tc>
          <w:tcPr>
            <w:tcW w:w="1134" w:type="dxa"/>
            <w:noWrap/>
            <w:vAlign w:val="top"/>
            <w:hideMark/>
          </w:tcPr>
          <w:p w14:paraId="62297ADB"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5,638</w:t>
            </w:r>
          </w:p>
        </w:tc>
        <w:tc>
          <w:tcPr>
            <w:tcW w:w="3215" w:type="dxa"/>
            <w:noWrap/>
            <w:vAlign w:val="top"/>
            <w:hideMark/>
          </w:tcPr>
          <w:p w14:paraId="6C5B13E0" w14:textId="1BC6AB2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7D165CED"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686572E2"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0A719B3E"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Blindness - following years</w:t>
            </w:r>
          </w:p>
        </w:tc>
        <w:tc>
          <w:tcPr>
            <w:tcW w:w="1134" w:type="dxa"/>
            <w:noWrap/>
            <w:vAlign w:val="top"/>
            <w:hideMark/>
          </w:tcPr>
          <w:p w14:paraId="435D4F52"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1,528</w:t>
            </w:r>
          </w:p>
        </w:tc>
        <w:tc>
          <w:tcPr>
            <w:tcW w:w="3215" w:type="dxa"/>
            <w:noWrap/>
            <w:vAlign w:val="top"/>
            <w:hideMark/>
          </w:tcPr>
          <w:p w14:paraId="6DB8E6A9" w14:textId="4140D34E"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6975D47B"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42406F06"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16F54024" w14:textId="77777777" w:rsidR="001A24F0" w:rsidRPr="00A30073" w:rsidRDefault="001A24F0" w:rsidP="00AE5D70">
            <w:pPr>
              <w:rPr>
                <w:rFonts w:asciiTheme="minorHAnsi" w:hAnsiTheme="minorHAnsi" w:cstheme="minorHAnsi"/>
                <w:sz w:val="22"/>
                <w:szCs w:val="22"/>
                <w:lang w:val="fr-BE" w:eastAsia="en-GB"/>
              </w:rPr>
            </w:pPr>
          </w:p>
        </w:tc>
        <w:tc>
          <w:tcPr>
            <w:tcW w:w="1134" w:type="dxa"/>
            <w:noWrap/>
            <w:vAlign w:val="top"/>
            <w:hideMark/>
          </w:tcPr>
          <w:p w14:paraId="59AA581A"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c>
          <w:tcPr>
            <w:tcW w:w="3215" w:type="dxa"/>
            <w:noWrap/>
            <w:vAlign w:val="top"/>
            <w:hideMark/>
          </w:tcPr>
          <w:p w14:paraId="7702D208"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1FFEDD64"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3CF0053B" w14:textId="77777777" w:rsidR="001A24F0" w:rsidRPr="00A30073" w:rsidRDefault="001A24F0" w:rsidP="00AE5D70">
            <w:pPr>
              <w:rPr>
                <w:rFonts w:asciiTheme="minorHAnsi" w:hAnsiTheme="minorHAnsi" w:cstheme="minorHAnsi"/>
                <w:b/>
                <w:bCs/>
                <w:sz w:val="22"/>
                <w:szCs w:val="22"/>
                <w:lang w:val="en-GB" w:eastAsia="en-GB"/>
              </w:rPr>
            </w:pPr>
            <w:r w:rsidRPr="00A30073">
              <w:rPr>
                <w:rFonts w:asciiTheme="minorHAnsi" w:hAnsiTheme="minorHAnsi" w:cstheme="minorHAnsi"/>
                <w:b/>
                <w:bCs/>
                <w:sz w:val="22"/>
                <w:szCs w:val="22"/>
                <w:lang w:val="en-GB" w:eastAsia="en-GB"/>
              </w:rPr>
              <w:t>Direct Costs Neuropathy/Foot Ulcer/Amputation</w:t>
            </w:r>
          </w:p>
        </w:tc>
        <w:tc>
          <w:tcPr>
            <w:tcW w:w="1134" w:type="dxa"/>
            <w:noWrap/>
            <w:vAlign w:val="top"/>
            <w:hideMark/>
          </w:tcPr>
          <w:p w14:paraId="5F059048"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c>
          <w:tcPr>
            <w:tcW w:w="3215" w:type="dxa"/>
            <w:noWrap/>
            <w:vAlign w:val="top"/>
            <w:hideMark/>
          </w:tcPr>
          <w:p w14:paraId="737D10EA"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p>
        </w:tc>
      </w:tr>
      <w:tr w:rsidR="001A24F0" w:rsidRPr="00A30073" w14:paraId="060AC7C6"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0F800CE3"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Neuropathy, 1st year</w:t>
            </w:r>
          </w:p>
        </w:tc>
        <w:tc>
          <w:tcPr>
            <w:tcW w:w="1134" w:type="dxa"/>
            <w:noWrap/>
            <w:vAlign w:val="top"/>
            <w:hideMark/>
          </w:tcPr>
          <w:p w14:paraId="3E7B25D9"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5,346</w:t>
            </w:r>
          </w:p>
        </w:tc>
        <w:tc>
          <w:tcPr>
            <w:tcW w:w="3215" w:type="dxa"/>
            <w:noWrap/>
            <w:vAlign w:val="top"/>
            <w:hideMark/>
          </w:tcPr>
          <w:p w14:paraId="1567D751" w14:textId="1A82AFE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4BBBFDF7"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6EC930AB"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669E9EA4"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Neuropathy, 2nd+ years</w:t>
            </w:r>
          </w:p>
        </w:tc>
        <w:tc>
          <w:tcPr>
            <w:tcW w:w="1134" w:type="dxa"/>
            <w:noWrap/>
            <w:vAlign w:val="top"/>
            <w:hideMark/>
          </w:tcPr>
          <w:p w14:paraId="6E38DDC1"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6,479</w:t>
            </w:r>
          </w:p>
        </w:tc>
        <w:tc>
          <w:tcPr>
            <w:tcW w:w="3215" w:type="dxa"/>
            <w:noWrap/>
            <w:vAlign w:val="top"/>
            <w:hideMark/>
          </w:tcPr>
          <w:p w14:paraId="16A02FB3" w14:textId="38F37A53"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1A529FCD"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4CBD3305"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375D0EFA"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Amputation (lower extremity)</w:t>
            </w:r>
          </w:p>
        </w:tc>
        <w:tc>
          <w:tcPr>
            <w:tcW w:w="1134" w:type="dxa"/>
            <w:noWrap/>
            <w:vAlign w:val="top"/>
            <w:hideMark/>
          </w:tcPr>
          <w:p w14:paraId="0814543B"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7,128</w:t>
            </w:r>
          </w:p>
        </w:tc>
        <w:tc>
          <w:tcPr>
            <w:tcW w:w="3215" w:type="dxa"/>
            <w:noWrap/>
            <w:vAlign w:val="top"/>
            <w:hideMark/>
          </w:tcPr>
          <w:p w14:paraId="0EF012E2" w14:textId="3258723D"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2B112B77"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77FCFA50"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115B28E7"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Amputation Prosthesis</w:t>
            </w:r>
          </w:p>
        </w:tc>
        <w:tc>
          <w:tcPr>
            <w:tcW w:w="1134" w:type="dxa"/>
            <w:noWrap/>
            <w:vAlign w:val="top"/>
            <w:hideMark/>
          </w:tcPr>
          <w:p w14:paraId="713CD079"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21,460</w:t>
            </w:r>
          </w:p>
        </w:tc>
        <w:tc>
          <w:tcPr>
            <w:tcW w:w="3215" w:type="dxa"/>
            <w:noWrap/>
            <w:vAlign w:val="top"/>
            <w:hideMark/>
          </w:tcPr>
          <w:p w14:paraId="4516B8C1" w14:textId="17B59589"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13BA9543"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770BF35B"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3F1BBA23"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Gangrene treatment</w:t>
            </w:r>
          </w:p>
        </w:tc>
        <w:tc>
          <w:tcPr>
            <w:tcW w:w="1134" w:type="dxa"/>
            <w:noWrap/>
            <w:vAlign w:val="top"/>
            <w:hideMark/>
          </w:tcPr>
          <w:p w14:paraId="25C099EC"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4,753</w:t>
            </w:r>
          </w:p>
        </w:tc>
        <w:tc>
          <w:tcPr>
            <w:tcW w:w="3215" w:type="dxa"/>
            <w:noWrap/>
            <w:vAlign w:val="top"/>
            <w:hideMark/>
          </w:tcPr>
          <w:p w14:paraId="68DDB7F7" w14:textId="3FA84A1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1CE778A4"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430E7204"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2083EAB6"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After healed ulcer</w:t>
            </w:r>
          </w:p>
        </w:tc>
        <w:tc>
          <w:tcPr>
            <w:tcW w:w="1134" w:type="dxa"/>
            <w:noWrap/>
            <w:vAlign w:val="top"/>
            <w:hideMark/>
          </w:tcPr>
          <w:p w14:paraId="7FD01D4F"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896</w:t>
            </w:r>
          </w:p>
        </w:tc>
        <w:tc>
          <w:tcPr>
            <w:tcW w:w="3215" w:type="dxa"/>
            <w:noWrap/>
            <w:vAlign w:val="top"/>
            <w:hideMark/>
          </w:tcPr>
          <w:p w14:paraId="6E014DB1"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Local KOL survey</w:t>
            </w:r>
          </w:p>
        </w:tc>
      </w:tr>
      <w:tr w:rsidR="001A24F0" w:rsidRPr="00A30073" w14:paraId="20D287A4"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1C38E0E4"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Infected ulcer</w:t>
            </w:r>
          </w:p>
        </w:tc>
        <w:tc>
          <w:tcPr>
            <w:tcW w:w="1134" w:type="dxa"/>
            <w:noWrap/>
            <w:vAlign w:val="top"/>
            <w:hideMark/>
          </w:tcPr>
          <w:p w14:paraId="4D1851B6"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5,346</w:t>
            </w:r>
          </w:p>
        </w:tc>
        <w:tc>
          <w:tcPr>
            <w:tcW w:w="3215" w:type="dxa"/>
            <w:noWrap/>
            <w:vAlign w:val="top"/>
            <w:hideMark/>
          </w:tcPr>
          <w:p w14:paraId="39038683" w14:textId="494B9A03"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574C2FCC"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1FF64132"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47AA72F2"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Standard uninfected ulcer</w:t>
            </w:r>
          </w:p>
        </w:tc>
        <w:tc>
          <w:tcPr>
            <w:tcW w:w="1134" w:type="dxa"/>
            <w:noWrap/>
            <w:vAlign w:val="top"/>
            <w:hideMark/>
          </w:tcPr>
          <w:p w14:paraId="71089BFB"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3,262</w:t>
            </w:r>
          </w:p>
        </w:tc>
        <w:tc>
          <w:tcPr>
            <w:tcW w:w="3215" w:type="dxa"/>
            <w:noWrap/>
            <w:vAlign w:val="top"/>
            <w:hideMark/>
          </w:tcPr>
          <w:p w14:paraId="7254E5DD" w14:textId="29E552F2"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r w:rsidRPr="00A30073">
              <w:rPr>
                <w:rFonts w:asciiTheme="minorHAnsi" w:hAnsiTheme="minorHAnsi" w:cstheme="minorHAnsi"/>
                <w:sz w:val="22"/>
                <w:szCs w:val="22"/>
                <w:lang w:val="fr-BE" w:eastAsia="en-GB"/>
              </w:rPr>
              <w:t xml:space="preserve">Foos et al 2018 </w:t>
            </w:r>
            <w:r w:rsidRPr="00A30073">
              <w:rPr>
                <w:rFonts w:cstheme="minorHAnsi"/>
                <w:lang w:eastAsia="en-GB"/>
              </w:rPr>
              <w:fldChar w:fldCharType="begin"/>
            </w:r>
            <w:r w:rsidRPr="00A30073">
              <w:rPr>
                <w:rFonts w:asciiTheme="minorHAnsi" w:hAnsiTheme="minorHAnsi" w:cstheme="minorHAnsi"/>
                <w:sz w:val="22"/>
                <w:szCs w:val="22"/>
                <w:lang w:val="en-GB" w:eastAsia="en-GB"/>
              </w:rPr>
              <w:instrText xml:space="preserve"> ADDIN EN.CITE &lt;EndNote&gt;&lt;Cite&gt;&lt;Author&gt;Foos&lt;/Author&gt;&lt;Year&gt;2018&lt;/Year&gt;&lt;RecNum&gt;502&lt;/RecNum&gt;&lt;DisplayText&gt;(1)&lt;/DisplayText&gt;&lt;record&gt;&lt;rec-number&gt;502&lt;/rec-number&gt;&lt;foreign-keys&gt;&lt;key app="EN" db-id="x00avpz24e2sr7et29mv9tejtfp0pefaadrf" timestamp="1549545873"&gt;502&lt;/key&gt;&lt;/foreign-keys&gt;&lt;ref-type name="Journal Article"&gt;17&lt;/ref-type&gt;&lt;contributors&gt;&lt;authors&gt;&lt;author&gt;Foos, V.&lt;/author&gt;&lt;author&gt;Wang, K.&lt;/author&gt;&lt;author&gt;McEwan, P.&lt;/author&gt;&lt;author&gt;Zhang, Y.&lt;/author&gt;&lt;author&gt;Xin, P.&lt;/author&gt;&lt;author&gt;Jiang, X.&lt;/author&gt;&lt;author&gt;Qu, S.&lt;/author&gt;&lt;author&gt;Xiong, T.&lt;/author&gt;&lt;author&gt;De Moor, R.&lt;/author&gt;&lt;author&gt;Ramos, M.&lt;/author&gt;&lt;author&gt;Lamotte, M.&lt;/author&gt;&lt;author&gt;Ji, L.&lt;/author&gt;&lt;/authors&gt;&lt;/contributors&gt;&lt;auth-address&gt;RWE Solutions, IQVIA, Zaventem, Belgium.&amp;#xD;Lilly Suzhou Pharmaceutical Co, Ltd, Shanghai, China.&amp;#xD;Centre for Health Economics, Swansea University, Wales, England, UK.&amp;#xD;RWE Solutions &amp;amp; HEOR, QuintilesIMS, Shanghai, China.&amp;#xD;Department of Endocrinology and Metabolism, Peking University People&amp;apos;s Hospital, Beijing, China.. Electronic address: jiln@bjmu.edu.cn.&lt;/auth-address&gt;&lt;titles&gt;&lt;title&gt;Assessing the Burden of Type 2 Diabetes in China Considering the Current Status-Quo Management and Implications of Improved Management Using a Modeling Approach&lt;/title&gt;&lt;secondary-title&gt;Value Health Reg Issues&lt;/secondary-title&gt;&lt;/titles&gt;&lt;periodical&gt;&lt;full-title&gt;Value Health Reg Issues&lt;/full-title&gt;&lt;/periodical&gt;&lt;pages&gt;36-46&lt;/pages&gt;&lt;volume&gt;18&lt;/volume&gt;&lt;edition&gt;2018/11/13&lt;/edition&gt;&lt;keywords&gt;&lt;keyword&gt;China&lt;/keyword&gt;&lt;keyword&gt;direct and indirect economic burden&lt;/keyword&gt;&lt;keyword&gt;healthcare costs&lt;/keyword&gt;&lt;keyword&gt;type 2 diabetes&lt;/keyword&gt;&lt;/keywords&gt;&lt;dates&gt;&lt;year&gt;2018&lt;/year&gt;&lt;pub-dates&gt;&lt;date&gt;Nov 9&lt;/date&gt;&lt;/pub-dates&gt;&lt;/dates&gt;&lt;isbn&gt;2212-1102 (Electronic)&amp;#xD;2212-1099 (Linking)&lt;/isbn&gt;&lt;accession-num&gt;30419449&lt;/accession-num&gt;&lt;urls&gt;&lt;related-urls&gt;&lt;url&gt;https://www.ncbi.nlm.nih.gov/pubmed/30419449&lt;/url&gt;&lt;/related-urls&gt;&lt;/urls&gt;&lt;electronic-resource-num&gt;10.1016/j.vhri.2018.08.006&lt;/electronic-resource-num&gt;&lt;/record&gt;&lt;/Cite&gt;&lt;/EndNote&gt;</w:instrText>
            </w:r>
            <w:r w:rsidRPr="00A30073">
              <w:rPr>
                <w:rFonts w:cstheme="minorHAnsi"/>
                <w:lang w:eastAsia="en-GB"/>
              </w:rPr>
              <w:fldChar w:fldCharType="separate"/>
            </w:r>
            <w:r w:rsidRPr="00A30073">
              <w:rPr>
                <w:rFonts w:asciiTheme="minorHAnsi" w:hAnsiTheme="minorHAnsi" w:cstheme="minorHAnsi"/>
                <w:noProof/>
                <w:sz w:val="22"/>
                <w:szCs w:val="22"/>
                <w:lang w:val="en-GB" w:eastAsia="en-GB"/>
              </w:rPr>
              <w:t>(8)</w:t>
            </w:r>
            <w:r w:rsidRPr="00A30073">
              <w:rPr>
                <w:rFonts w:cstheme="minorHAnsi"/>
                <w:lang w:eastAsia="en-GB"/>
              </w:rPr>
              <w:fldChar w:fldCharType="end"/>
            </w:r>
          </w:p>
          <w:p w14:paraId="3E034EE3"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fr-BE" w:eastAsia="en-GB"/>
              </w:rPr>
            </w:pPr>
          </w:p>
        </w:tc>
      </w:tr>
      <w:tr w:rsidR="001A24F0" w:rsidRPr="00A30073" w14:paraId="3C3117D8" w14:textId="77777777" w:rsidTr="00AE5D70">
        <w:trPr>
          <w:trHeight w:val="288"/>
        </w:trPr>
        <w:tc>
          <w:tcPr>
            <w:cnfStyle w:val="001000000000" w:firstRow="0" w:lastRow="0" w:firstColumn="1" w:lastColumn="0" w:oddVBand="0" w:evenVBand="0" w:oddHBand="0" w:evenHBand="0" w:firstRowFirstColumn="0" w:firstRowLastColumn="0" w:lastRowFirstColumn="0" w:lastRowLastColumn="0"/>
            <w:tcW w:w="4678" w:type="dxa"/>
            <w:noWrap/>
            <w:vAlign w:val="top"/>
            <w:hideMark/>
          </w:tcPr>
          <w:p w14:paraId="452FCFC4" w14:textId="77777777" w:rsidR="001A24F0" w:rsidRPr="00A30073" w:rsidRDefault="001A24F0" w:rsidP="00AE5D70">
            <w:pPr>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Healed ulcer history of amputation</w:t>
            </w:r>
          </w:p>
        </w:tc>
        <w:tc>
          <w:tcPr>
            <w:tcW w:w="1134" w:type="dxa"/>
            <w:noWrap/>
            <w:vAlign w:val="top"/>
            <w:hideMark/>
          </w:tcPr>
          <w:p w14:paraId="5642594F" w14:textId="77777777" w:rsidR="001A24F0" w:rsidRPr="00A30073" w:rsidRDefault="001A24F0" w:rsidP="00AE5D7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sidRPr="00A30073">
              <w:rPr>
                <w:rFonts w:asciiTheme="minorHAnsi" w:hAnsiTheme="minorHAnsi" w:cstheme="minorHAnsi"/>
                <w:sz w:val="22"/>
                <w:szCs w:val="22"/>
              </w:rPr>
              <w:t>896</w:t>
            </w:r>
          </w:p>
        </w:tc>
        <w:tc>
          <w:tcPr>
            <w:tcW w:w="3215" w:type="dxa"/>
            <w:noWrap/>
            <w:vAlign w:val="top"/>
            <w:hideMark/>
          </w:tcPr>
          <w:p w14:paraId="4A691400" w14:textId="77777777" w:rsidR="001A24F0" w:rsidRPr="00A30073" w:rsidRDefault="001A24F0" w:rsidP="00AE5D7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GB" w:eastAsia="en-GB"/>
              </w:rPr>
            </w:pPr>
            <w:r w:rsidRPr="00A30073">
              <w:rPr>
                <w:rFonts w:asciiTheme="minorHAnsi" w:hAnsiTheme="minorHAnsi" w:cstheme="minorHAnsi"/>
                <w:sz w:val="22"/>
                <w:szCs w:val="22"/>
                <w:lang w:val="en-GB" w:eastAsia="en-GB"/>
              </w:rPr>
              <w:t>Local KOL survey</w:t>
            </w:r>
          </w:p>
        </w:tc>
      </w:tr>
    </w:tbl>
    <w:p w14:paraId="426C9D20" w14:textId="77777777" w:rsidR="001A24F0" w:rsidRPr="00A30073" w:rsidRDefault="001A24F0" w:rsidP="001A24F0">
      <w:pPr>
        <w:rPr>
          <w:b/>
          <w:bCs/>
          <w:lang w:val="en-US"/>
        </w:rPr>
      </w:pPr>
    </w:p>
    <w:p w14:paraId="5BD49E6E" w14:textId="77777777" w:rsidR="001A24F0" w:rsidRPr="00A30073" w:rsidRDefault="001A24F0" w:rsidP="001A24F0"/>
    <w:p w14:paraId="06CEB895" w14:textId="77777777" w:rsidR="001A24F0" w:rsidRPr="00A30073" w:rsidRDefault="001A24F0" w:rsidP="001A24F0">
      <w:r w:rsidRPr="00A30073">
        <w:br w:type="page"/>
      </w:r>
    </w:p>
    <w:p w14:paraId="76346D65" w14:textId="77777777" w:rsidR="006D0CC2" w:rsidRPr="00A30073" w:rsidRDefault="006D0CC2" w:rsidP="006D0CC2">
      <w:pPr>
        <w:rPr>
          <w:b/>
          <w:bCs/>
        </w:rPr>
      </w:pPr>
      <w:r w:rsidRPr="00A30073">
        <w:rPr>
          <w:b/>
          <w:bCs/>
        </w:rPr>
        <w:lastRenderedPageBreak/>
        <w:t>References</w:t>
      </w:r>
    </w:p>
    <w:p w14:paraId="5157AD9C" w14:textId="24A65F08" w:rsidR="006D0CC2" w:rsidRPr="00A30073" w:rsidRDefault="006D0CC2" w:rsidP="001A24F0">
      <w:pPr>
        <w:pStyle w:val="EndNoteBibliography"/>
        <w:spacing w:before="120" w:after="0"/>
      </w:pPr>
      <w:r w:rsidRPr="00A30073">
        <w:fldChar w:fldCharType="begin"/>
      </w:r>
      <w:r w:rsidRPr="00A30073">
        <w:instrText xml:space="preserve"> ADDIN EN.REFLIST </w:instrText>
      </w:r>
      <w:r w:rsidRPr="00A30073">
        <w:fldChar w:fldCharType="separate"/>
      </w:r>
      <w:r w:rsidRPr="00A30073">
        <w:t>1.          Clinicaltrials.gov. Efficacy and Safety of Empagliflozin (BI 10773) With Metformin in Patients With Type 2 Diabetes 2016 [Available from: https://clinicaltrials.gov/ct2/show/NCT01167881.</w:t>
      </w:r>
    </w:p>
    <w:p w14:paraId="5455ADA8" w14:textId="31B048D0" w:rsidR="006D0CC2" w:rsidRPr="00A30073" w:rsidRDefault="006D0CC2" w:rsidP="001A24F0">
      <w:pPr>
        <w:pStyle w:val="EndNoteBibliography"/>
        <w:spacing w:before="120" w:after="0"/>
      </w:pPr>
      <w:r w:rsidRPr="00A30073">
        <w:t>2.</w:t>
      </w:r>
      <w:r w:rsidRPr="00A30073">
        <w:tab/>
        <w:t xml:space="preserve">Li T, Wan X, Ma J, Wu B. Cost-Effectiveness of Primary Prevention with Statin Treatment for Chinese Patients with Type 2 Diabetes. </w:t>
      </w:r>
      <w:r w:rsidRPr="00A30073">
        <w:rPr>
          <w:i/>
          <w:iCs/>
        </w:rPr>
        <w:t>Adv Ther</w:t>
      </w:r>
      <w:r w:rsidRPr="00A30073">
        <w:t>. 35(12)</w:t>
      </w:r>
      <w:r w:rsidR="00AB58C3" w:rsidRPr="00A30073">
        <w:rPr>
          <w:lang/>
        </w:rPr>
        <w:t>,</w:t>
      </w:r>
      <w:r w:rsidRPr="00A30073">
        <w:t>2214-</w:t>
      </w:r>
      <w:r w:rsidR="00AB58C3" w:rsidRPr="00A30073">
        <w:rPr>
          <w:lang/>
        </w:rPr>
        <w:t>22</w:t>
      </w:r>
      <w:r w:rsidRPr="00A30073">
        <w:t>23</w:t>
      </w:r>
      <w:r w:rsidR="00AB58C3" w:rsidRPr="00A30073">
        <w:rPr>
          <w:lang/>
        </w:rPr>
        <w:t xml:space="preserve"> (2018)</w:t>
      </w:r>
      <w:r w:rsidRPr="00A30073">
        <w:t>.</w:t>
      </w:r>
    </w:p>
    <w:p w14:paraId="75F3EA82" w14:textId="3DC73A75" w:rsidR="006D0CC2" w:rsidRPr="00A30073" w:rsidRDefault="006D0CC2" w:rsidP="001A24F0">
      <w:pPr>
        <w:pStyle w:val="EndNoteBibliography"/>
        <w:spacing w:before="120" w:after="0"/>
      </w:pPr>
      <w:r w:rsidRPr="00A30073">
        <w:t>3.</w:t>
      </w:r>
      <w:r w:rsidRPr="00A30073">
        <w:tab/>
        <w:t xml:space="preserve">Beaudet A, Clegg J, Thuresson PO, Lloyd A, McEwan P. Review of utility values for economic modeling in type 2 diabetes. </w:t>
      </w:r>
      <w:r w:rsidRPr="00A30073">
        <w:rPr>
          <w:i/>
          <w:iCs/>
        </w:rPr>
        <w:t>Value Health</w:t>
      </w:r>
      <w:r w:rsidRPr="00A30073">
        <w:t>. 17(4)</w:t>
      </w:r>
      <w:r w:rsidR="00AB58C3" w:rsidRPr="00A30073">
        <w:rPr>
          <w:lang/>
        </w:rPr>
        <w:t>,</w:t>
      </w:r>
      <w:r w:rsidRPr="00A30073">
        <w:t>462-70</w:t>
      </w:r>
      <w:r w:rsidR="00AB58C3" w:rsidRPr="00A30073">
        <w:rPr>
          <w:lang/>
        </w:rPr>
        <w:t xml:space="preserve"> (2014)</w:t>
      </w:r>
      <w:r w:rsidRPr="00A30073">
        <w:t>.</w:t>
      </w:r>
    </w:p>
    <w:p w14:paraId="29786D52" w14:textId="567D7ADF" w:rsidR="006D0CC2" w:rsidRPr="00A30073" w:rsidRDefault="006D0CC2" w:rsidP="001A24F0">
      <w:pPr>
        <w:pStyle w:val="EndNoteBibliography"/>
        <w:spacing w:before="120" w:after="0"/>
      </w:pPr>
      <w:r w:rsidRPr="00A30073">
        <w:t>4.</w:t>
      </w:r>
      <w:r w:rsidRPr="00A30073">
        <w:tab/>
        <w:t xml:space="preserve">Lauridsen JT, Lonborg J, Gundgaard J, Jensen HH. Diminishing marginal disutility of hypoglycaemic events: results from a time trade-off survey in five countries. </w:t>
      </w:r>
      <w:r w:rsidRPr="00A30073">
        <w:rPr>
          <w:i/>
          <w:iCs/>
        </w:rPr>
        <w:t>Qual Life Res</w:t>
      </w:r>
      <w:r w:rsidRPr="00A30073">
        <w:t>. 23(9)</w:t>
      </w:r>
      <w:r w:rsidR="00AB58C3" w:rsidRPr="00A30073">
        <w:rPr>
          <w:lang/>
        </w:rPr>
        <w:t>,</w:t>
      </w:r>
      <w:r w:rsidRPr="00A30073">
        <w:t>2645-</w:t>
      </w:r>
      <w:r w:rsidR="00AB58C3" w:rsidRPr="00A30073">
        <w:rPr>
          <w:lang/>
        </w:rPr>
        <w:t>26</w:t>
      </w:r>
      <w:r w:rsidRPr="00A30073">
        <w:t>50</w:t>
      </w:r>
      <w:r w:rsidR="00AB58C3" w:rsidRPr="00A30073">
        <w:rPr>
          <w:lang/>
        </w:rPr>
        <w:t xml:space="preserve"> (</w:t>
      </w:r>
      <w:r w:rsidR="00AB58C3" w:rsidRPr="00A30073">
        <w:t>2014</w:t>
      </w:r>
      <w:r w:rsidR="00AB58C3" w:rsidRPr="00A30073">
        <w:rPr>
          <w:lang/>
        </w:rPr>
        <w:t>)</w:t>
      </w:r>
      <w:r w:rsidRPr="00A30073">
        <w:t>.</w:t>
      </w:r>
    </w:p>
    <w:p w14:paraId="0C06B271" w14:textId="5CF3B1E1" w:rsidR="006D0CC2" w:rsidRPr="00A30073" w:rsidRDefault="006D0CC2" w:rsidP="001A24F0">
      <w:pPr>
        <w:pStyle w:val="EndNoteBibliography"/>
        <w:spacing w:before="120" w:after="0"/>
      </w:pPr>
      <w:r w:rsidRPr="00A30073">
        <w:t>5.</w:t>
      </w:r>
      <w:r w:rsidRPr="00A30073">
        <w:tab/>
        <w:t xml:space="preserve">Foos </w:t>
      </w:r>
      <w:r w:rsidR="008D606C" w:rsidRPr="00A30073">
        <w:rPr>
          <w:lang/>
        </w:rPr>
        <w:t xml:space="preserve">V, </w:t>
      </w:r>
      <w:r w:rsidRPr="00A30073">
        <w:t>M</w:t>
      </w:r>
      <w:r w:rsidR="008D606C" w:rsidRPr="00A30073">
        <w:rPr>
          <w:lang/>
        </w:rPr>
        <w:t>cEwan P</w:t>
      </w:r>
      <w:r w:rsidRPr="00A30073">
        <w:t xml:space="preserve">. Conversion of Hypoglycemia Utility Decrements from Categorical Units Reflecting Event History into Event Specific Disutility Scores Applicable to Diabetes Decision Models. </w:t>
      </w:r>
      <w:r w:rsidRPr="00A30073">
        <w:rPr>
          <w:i/>
          <w:iCs/>
        </w:rPr>
        <w:t>Value in Health</w:t>
      </w:r>
      <w:r w:rsidRPr="00A30073">
        <w:t>. 21</w:t>
      </w:r>
      <w:r w:rsidR="00AB58C3" w:rsidRPr="00A30073">
        <w:rPr>
          <w:lang/>
        </w:rPr>
        <w:t xml:space="preserve"> (2018)</w:t>
      </w:r>
      <w:r w:rsidRPr="00A30073">
        <w:t>.</w:t>
      </w:r>
    </w:p>
    <w:p w14:paraId="77F84FBF" w14:textId="403D23BC" w:rsidR="006D0CC2" w:rsidRPr="00A30073" w:rsidRDefault="006D0CC2" w:rsidP="001A24F0">
      <w:pPr>
        <w:pStyle w:val="EndNoteBibliography"/>
        <w:spacing w:before="120" w:after="0"/>
      </w:pPr>
      <w:r w:rsidRPr="00A30073">
        <w:t>6.</w:t>
      </w:r>
      <w:r w:rsidRPr="00A30073">
        <w:tab/>
        <w:t>Turner KM, Round J, Horner P, Macleod J, Goldenberg S, Deol A, et al. An early evaluation of clinical and economic costs and benefits of implementing point of care NAAT tests for Chlamydia trachomatis and Neisseria gonorrhoea in genitourinary medicine clinics in England.</w:t>
      </w:r>
      <w:r w:rsidRPr="00A30073">
        <w:rPr>
          <w:i/>
          <w:iCs/>
        </w:rPr>
        <w:t xml:space="preserve"> Sex Transm Infect</w:t>
      </w:r>
      <w:r w:rsidRPr="00A30073">
        <w:t>. 90(2)</w:t>
      </w:r>
      <w:r w:rsidR="00AB58C3" w:rsidRPr="00A30073">
        <w:rPr>
          <w:lang/>
        </w:rPr>
        <w:t>,</w:t>
      </w:r>
      <w:r w:rsidRPr="00A30073">
        <w:t>104-</w:t>
      </w:r>
      <w:r w:rsidR="00AB58C3" w:rsidRPr="00A30073">
        <w:rPr>
          <w:lang/>
        </w:rPr>
        <w:t>1</w:t>
      </w:r>
      <w:r w:rsidRPr="00A30073">
        <w:t>11</w:t>
      </w:r>
      <w:r w:rsidR="00AB58C3" w:rsidRPr="00A30073">
        <w:rPr>
          <w:lang/>
        </w:rPr>
        <w:t xml:space="preserve"> (</w:t>
      </w:r>
      <w:r w:rsidR="00AB58C3" w:rsidRPr="00A30073">
        <w:t>2014</w:t>
      </w:r>
      <w:r w:rsidR="00AB58C3" w:rsidRPr="00A30073">
        <w:rPr>
          <w:lang/>
        </w:rPr>
        <w:t>)</w:t>
      </w:r>
      <w:r w:rsidRPr="00A30073">
        <w:t>.</w:t>
      </w:r>
    </w:p>
    <w:p w14:paraId="0C184328" w14:textId="1B920E43" w:rsidR="006D0CC2" w:rsidRPr="00A30073" w:rsidRDefault="006D0CC2" w:rsidP="001A24F0">
      <w:pPr>
        <w:pStyle w:val="EndNoteBibliography"/>
        <w:spacing w:before="120"/>
      </w:pPr>
      <w:r w:rsidRPr="00A30073">
        <w:t>7.</w:t>
      </w:r>
      <w:r w:rsidRPr="00A30073">
        <w:tab/>
        <w:t>Royal College of Physicians (UK). Appendix KSystematic review of health related quality of life for symptomatic UTI. 2012.</w:t>
      </w:r>
    </w:p>
    <w:p w14:paraId="29829159" w14:textId="47A13E70" w:rsidR="001A24F0" w:rsidRPr="00A30073" w:rsidRDefault="006D0CC2" w:rsidP="001A24F0">
      <w:pPr>
        <w:pStyle w:val="EndNoteBibliography"/>
        <w:spacing w:before="120" w:after="0"/>
      </w:pPr>
      <w:r w:rsidRPr="00A30073">
        <w:fldChar w:fldCharType="end"/>
      </w:r>
      <w:r w:rsidR="001A24F0" w:rsidRPr="00A30073">
        <w:fldChar w:fldCharType="begin"/>
      </w:r>
      <w:r w:rsidR="001A24F0" w:rsidRPr="00A30073">
        <w:rPr>
          <w:lang w:val="nl-BE"/>
        </w:rPr>
        <w:instrText xml:space="preserve"> ADDIN EN.REFLIST </w:instrText>
      </w:r>
      <w:r w:rsidR="001A24F0" w:rsidRPr="00A30073">
        <w:fldChar w:fldCharType="separate"/>
      </w:r>
      <w:r w:rsidR="001A24F0" w:rsidRPr="00A30073">
        <w:rPr>
          <w:lang w:val="nl-BE"/>
        </w:rPr>
        <w:t>8.</w:t>
      </w:r>
      <w:r w:rsidR="001A24F0" w:rsidRPr="00A30073">
        <w:rPr>
          <w:lang w:val="nl-BE"/>
        </w:rPr>
        <w:tab/>
        <w:t xml:space="preserve">Foos V, Wang K, McEwan P, Zhang Y, Xin P, Jiang X, et al. </w:t>
      </w:r>
      <w:r w:rsidR="001A24F0" w:rsidRPr="00A30073">
        <w:t xml:space="preserve">Assessing the Burden of Type 2 Diabetes in China Considering the Current Status-Quo Management and Implications of Improved Management Using a Modeling Approach. </w:t>
      </w:r>
      <w:r w:rsidR="001A24F0" w:rsidRPr="00A30073">
        <w:rPr>
          <w:i/>
          <w:iCs/>
        </w:rPr>
        <w:t>Value Health Reg Issues.</w:t>
      </w:r>
      <w:r w:rsidR="001A24F0" w:rsidRPr="00A30073">
        <w:t xml:space="preserve"> 18</w:t>
      </w:r>
      <w:r w:rsidR="00AB58C3" w:rsidRPr="00A30073">
        <w:rPr>
          <w:lang/>
        </w:rPr>
        <w:t>,</w:t>
      </w:r>
      <w:r w:rsidR="001A24F0" w:rsidRPr="00A30073">
        <w:t>36-46</w:t>
      </w:r>
      <w:r w:rsidR="00AB58C3" w:rsidRPr="00A30073">
        <w:rPr>
          <w:lang/>
        </w:rPr>
        <w:t xml:space="preserve"> (2018)</w:t>
      </w:r>
      <w:r w:rsidR="001A24F0" w:rsidRPr="00A30073">
        <w:t>.</w:t>
      </w:r>
    </w:p>
    <w:p w14:paraId="694722C2" w14:textId="0A74C659" w:rsidR="006D0CC2" w:rsidRPr="00AB58C3" w:rsidRDefault="001A24F0" w:rsidP="001A24F0">
      <w:pPr>
        <w:pStyle w:val="EndNoteBibliography"/>
        <w:spacing w:before="120"/>
        <w:rPr>
          <w:lang/>
        </w:rPr>
      </w:pPr>
      <w:r w:rsidRPr="00A30073">
        <w:t>9.</w:t>
      </w:r>
      <w:r w:rsidRPr="00A30073">
        <w:tab/>
        <w:t>Drug Price Network. 2018 [Available from: https://www.315jiage.cn</w:t>
      </w:r>
      <w:r w:rsidRPr="00A30073">
        <w:fldChar w:fldCharType="end"/>
      </w:r>
      <w:r w:rsidR="00AB58C3" w:rsidRPr="00A30073">
        <w:rPr>
          <w:lang/>
        </w:rPr>
        <w:t>]</w:t>
      </w:r>
      <w:bookmarkStart w:id="0" w:name="_GoBack"/>
      <w:bookmarkEnd w:id="0"/>
    </w:p>
    <w:sectPr w:rsidR="006D0CC2" w:rsidRPr="00AB58C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4C685E" w14:textId="77777777" w:rsidR="008557C2" w:rsidRDefault="008557C2" w:rsidP="006D0CC2">
      <w:pPr>
        <w:spacing w:after="0" w:line="240" w:lineRule="auto"/>
      </w:pPr>
      <w:r>
        <w:separator/>
      </w:r>
    </w:p>
  </w:endnote>
  <w:endnote w:type="continuationSeparator" w:id="0">
    <w:p w14:paraId="7FFF8756" w14:textId="77777777" w:rsidR="008557C2" w:rsidRDefault="008557C2" w:rsidP="006D0C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5F8483" w14:textId="77777777" w:rsidR="008557C2" w:rsidRDefault="008557C2" w:rsidP="006D0CC2">
      <w:pPr>
        <w:spacing w:after="0" w:line="240" w:lineRule="auto"/>
      </w:pPr>
      <w:r>
        <w:separator/>
      </w:r>
    </w:p>
  </w:footnote>
  <w:footnote w:type="continuationSeparator" w:id="0">
    <w:p w14:paraId="75225827" w14:textId="77777777" w:rsidR="008557C2" w:rsidRDefault="008557C2" w:rsidP="006D0C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52C87"/>
    <w:multiLevelType w:val="hybridMultilevel"/>
    <w:tmpl w:val="89D8BC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00avpz24e2sr7et29mv9tejtfp0pefaadrf&quot;&gt;My EndNote Library 20181016&lt;record-ids&gt;&lt;item&gt;324&lt;/item&gt;&lt;item&gt;325&lt;/item&gt;&lt;item&gt;326&lt;/item&gt;&lt;item&gt;503&lt;/item&gt;&lt;item&gt;504&lt;/item&gt;&lt;item&gt;505&lt;/item&gt;&lt;/record-ids&gt;&lt;/item&gt;&lt;/Libraries&gt;"/>
  </w:docVars>
  <w:rsids>
    <w:rsidRoot w:val="00E73794"/>
    <w:rsid w:val="00002C40"/>
    <w:rsid w:val="00085ECF"/>
    <w:rsid w:val="000F35C9"/>
    <w:rsid w:val="001A24F0"/>
    <w:rsid w:val="001F7062"/>
    <w:rsid w:val="002C1DC0"/>
    <w:rsid w:val="002E5DA8"/>
    <w:rsid w:val="00372F33"/>
    <w:rsid w:val="00391A39"/>
    <w:rsid w:val="00417151"/>
    <w:rsid w:val="004725DB"/>
    <w:rsid w:val="004733FA"/>
    <w:rsid w:val="00601296"/>
    <w:rsid w:val="00623F98"/>
    <w:rsid w:val="006B4BDE"/>
    <w:rsid w:val="006D0CC2"/>
    <w:rsid w:val="006F3AD1"/>
    <w:rsid w:val="007113F6"/>
    <w:rsid w:val="007B74D1"/>
    <w:rsid w:val="007D327C"/>
    <w:rsid w:val="007E35D8"/>
    <w:rsid w:val="007E36FE"/>
    <w:rsid w:val="008557C2"/>
    <w:rsid w:val="0086400A"/>
    <w:rsid w:val="008D606C"/>
    <w:rsid w:val="0093243E"/>
    <w:rsid w:val="009641A2"/>
    <w:rsid w:val="00A30073"/>
    <w:rsid w:val="00A7112F"/>
    <w:rsid w:val="00AB58C3"/>
    <w:rsid w:val="00AE5D70"/>
    <w:rsid w:val="00AF6EE9"/>
    <w:rsid w:val="00B07A28"/>
    <w:rsid w:val="00B81A66"/>
    <w:rsid w:val="00BB2425"/>
    <w:rsid w:val="00BB5BE5"/>
    <w:rsid w:val="00C1458F"/>
    <w:rsid w:val="00C23C7E"/>
    <w:rsid w:val="00C65A03"/>
    <w:rsid w:val="00D917CF"/>
    <w:rsid w:val="00DB0F18"/>
    <w:rsid w:val="00DF136B"/>
    <w:rsid w:val="00E13581"/>
    <w:rsid w:val="00E73794"/>
    <w:rsid w:val="00E7541E"/>
    <w:rsid w:val="00E8078C"/>
    <w:rsid w:val="00E86CDD"/>
    <w:rsid w:val="00EE1B5E"/>
    <w:rsid w:val="00EF16D5"/>
    <w:rsid w:val="00FF432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969C7"/>
  <w15:chartTrackingRefBased/>
  <w15:docId w15:val="{68E8290C-6659-46BB-9AC7-9DE316F81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Heading 1_Novo"/>
    <w:basedOn w:val="Normal"/>
    <w:next w:val="Normal"/>
    <w:link w:val="Heading1Char"/>
    <w:uiPriority w:val="1"/>
    <w:qFormat/>
    <w:rsid w:val="006D0CC2"/>
    <w:pPr>
      <w:keepNext/>
      <w:keepLines/>
      <w:spacing w:before="240" w:after="0" w:line="360" w:lineRule="auto"/>
      <w:outlineLvl w:val="0"/>
    </w:pPr>
    <w:rPr>
      <w:rFonts w:ascii="Arial" w:eastAsiaTheme="majorEastAsia" w:hAnsi="Arial" w:cstheme="majorBidi"/>
      <w:sz w:val="24"/>
      <w:szCs w:val="32"/>
      <w:lang w:val="de-DE"/>
    </w:rPr>
  </w:style>
  <w:style w:type="paragraph" w:styleId="Heading2">
    <w:name w:val="heading 2"/>
    <w:basedOn w:val="Normal"/>
    <w:next w:val="Normal"/>
    <w:link w:val="Heading2Char"/>
    <w:uiPriority w:val="9"/>
    <w:unhideWhenUsed/>
    <w:qFormat/>
    <w:rsid w:val="006D0CC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cientific">
    <w:name w:val="Scientific"/>
    <w:basedOn w:val="TableNormal"/>
    <w:uiPriority w:val="99"/>
    <w:rsid w:val="00EF16D5"/>
    <w:pPr>
      <w:spacing w:after="0" w:line="240" w:lineRule="auto"/>
      <w:jc w:val="center"/>
    </w:pPr>
    <w:rPr>
      <w:rFonts w:ascii="Arial" w:eastAsia="Times New Roman" w:hAnsi="Arial" w:cs="Geneva"/>
      <w:sz w:val="20"/>
      <w:szCs w:val="20"/>
      <w:lang w:val="en-CA" w:eastAsia="en-CA"/>
    </w:rPr>
    <w:tblPr>
      <w:tblBorders>
        <w:top w:val="single" w:sz="18" w:space="0" w:color="auto"/>
        <w:bottom w:val="single" w:sz="18" w:space="0" w:color="auto"/>
      </w:tblBorders>
    </w:tblPr>
    <w:tcPr>
      <w:shd w:val="clear" w:color="auto" w:fill="FFFFFF"/>
      <w:vAlign w:val="center"/>
    </w:tcPr>
    <w:tblStylePr w:type="firstRow">
      <w:rPr>
        <w:b/>
      </w:rPr>
      <w:tblPr/>
      <w:tcPr>
        <w:tcBorders>
          <w:bottom w:val="single" w:sz="18" w:space="0" w:color="auto"/>
        </w:tcBorders>
      </w:tcPr>
    </w:tblStylePr>
    <w:tblStylePr w:type="firstCol">
      <w:pPr>
        <w:jc w:val="left"/>
      </w:pPr>
    </w:tblStylePr>
  </w:style>
  <w:style w:type="paragraph" w:customStyle="1" w:styleId="EndNoteBibliographyTitle">
    <w:name w:val="EndNote Bibliography Title"/>
    <w:basedOn w:val="Normal"/>
    <w:link w:val="EndNoteBibliographyTitleChar"/>
    <w:rsid w:val="00417151"/>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417151"/>
    <w:rPr>
      <w:rFonts w:ascii="Calibri" w:hAnsi="Calibri"/>
      <w:noProof/>
      <w:lang w:val="en-US"/>
    </w:rPr>
  </w:style>
  <w:style w:type="paragraph" w:customStyle="1" w:styleId="EndNoteBibliography">
    <w:name w:val="EndNote Bibliography"/>
    <w:basedOn w:val="Normal"/>
    <w:link w:val="EndNoteBibliographyChar"/>
    <w:rsid w:val="00417151"/>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417151"/>
    <w:rPr>
      <w:rFonts w:ascii="Calibri" w:hAnsi="Calibri"/>
      <w:noProof/>
      <w:lang w:val="en-US"/>
    </w:rPr>
  </w:style>
  <w:style w:type="character" w:customStyle="1" w:styleId="Heading1Char">
    <w:name w:val="Heading 1 Char"/>
    <w:aliases w:val="Heading 1_Novo Char"/>
    <w:basedOn w:val="DefaultParagraphFont"/>
    <w:link w:val="Heading1"/>
    <w:uiPriority w:val="1"/>
    <w:rsid w:val="006D0CC2"/>
    <w:rPr>
      <w:rFonts w:ascii="Arial" w:eastAsiaTheme="majorEastAsia" w:hAnsi="Arial" w:cstheme="majorBidi"/>
      <w:sz w:val="24"/>
      <w:szCs w:val="32"/>
      <w:lang w:val="de-DE"/>
    </w:rPr>
  </w:style>
  <w:style w:type="character" w:customStyle="1" w:styleId="Heading2Char">
    <w:name w:val="Heading 2 Char"/>
    <w:basedOn w:val="DefaultParagraphFont"/>
    <w:link w:val="Heading2"/>
    <w:uiPriority w:val="9"/>
    <w:rsid w:val="006D0CC2"/>
    <w:rPr>
      <w:rFonts w:asciiTheme="majorHAnsi" w:eastAsiaTheme="majorEastAsia" w:hAnsiTheme="majorHAnsi" w:cstheme="majorBidi"/>
      <w:color w:val="2F5496" w:themeColor="accent1" w:themeShade="BF"/>
      <w:sz w:val="26"/>
      <w:szCs w:val="26"/>
    </w:rPr>
  </w:style>
  <w:style w:type="paragraph" w:styleId="BalloonText">
    <w:name w:val="Balloon Text"/>
    <w:basedOn w:val="Normal"/>
    <w:link w:val="BalloonTextChar"/>
    <w:uiPriority w:val="99"/>
    <w:semiHidden/>
    <w:unhideWhenUsed/>
    <w:rsid w:val="006D0C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0CC2"/>
    <w:rPr>
      <w:rFonts w:ascii="Segoe UI" w:hAnsi="Segoe UI" w:cs="Segoe UI"/>
      <w:sz w:val="18"/>
      <w:szCs w:val="18"/>
    </w:rPr>
  </w:style>
  <w:style w:type="paragraph" w:styleId="EndnoteText">
    <w:name w:val="endnote text"/>
    <w:basedOn w:val="Normal"/>
    <w:link w:val="EndnoteTextChar"/>
    <w:uiPriority w:val="99"/>
    <w:semiHidden/>
    <w:unhideWhenUsed/>
    <w:rsid w:val="006D0CC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D0CC2"/>
    <w:rPr>
      <w:sz w:val="20"/>
      <w:szCs w:val="20"/>
    </w:rPr>
  </w:style>
  <w:style w:type="character" w:styleId="EndnoteReference">
    <w:name w:val="endnote reference"/>
    <w:basedOn w:val="DefaultParagraphFont"/>
    <w:uiPriority w:val="99"/>
    <w:semiHidden/>
    <w:unhideWhenUsed/>
    <w:rsid w:val="006D0CC2"/>
    <w:rPr>
      <w:vertAlign w:val="superscript"/>
    </w:rPr>
  </w:style>
  <w:style w:type="character" w:styleId="Hyperlink">
    <w:name w:val="Hyperlink"/>
    <w:basedOn w:val="DefaultParagraphFont"/>
    <w:uiPriority w:val="99"/>
    <w:unhideWhenUsed/>
    <w:rsid w:val="001A24F0"/>
    <w:rPr>
      <w:color w:val="0563C1" w:themeColor="hyperlink"/>
      <w:u w:val="single"/>
    </w:rPr>
  </w:style>
  <w:style w:type="character" w:styleId="CommentReference">
    <w:name w:val="annotation reference"/>
    <w:basedOn w:val="DefaultParagraphFont"/>
    <w:uiPriority w:val="99"/>
    <w:semiHidden/>
    <w:unhideWhenUsed/>
    <w:rsid w:val="001A24F0"/>
    <w:rPr>
      <w:sz w:val="16"/>
      <w:szCs w:val="16"/>
    </w:rPr>
  </w:style>
  <w:style w:type="paragraph" w:styleId="CommentText">
    <w:name w:val="annotation text"/>
    <w:basedOn w:val="Normal"/>
    <w:link w:val="CommentTextChar"/>
    <w:uiPriority w:val="99"/>
    <w:semiHidden/>
    <w:unhideWhenUsed/>
    <w:rsid w:val="001A24F0"/>
    <w:pPr>
      <w:spacing w:line="240" w:lineRule="auto"/>
    </w:pPr>
    <w:rPr>
      <w:sz w:val="20"/>
      <w:szCs w:val="20"/>
    </w:rPr>
  </w:style>
  <w:style w:type="character" w:customStyle="1" w:styleId="CommentTextChar">
    <w:name w:val="Comment Text Char"/>
    <w:basedOn w:val="DefaultParagraphFont"/>
    <w:link w:val="CommentText"/>
    <w:uiPriority w:val="99"/>
    <w:semiHidden/>
    <w:rsid w:val="001A24F0"/>
    <w:rPr>
      <w:sz w:val="20"/>
      <w:szCs w:val="20"/>
    </w:rPr>
  </w:style>
  <w:style w:type="paragraph" w:styleId="CommentSubject">
    <w:name w:val="annotation subject"/>
    <w:basedOn w:val="CommentText"/>
    <w:next w:val="CommentText"/>
    <w:link w:val="CommentSubjectChar"/>
    <w:uiPriority w:val="99"/>
    <w:semiHidden/>
    <w:unhideWhenUsed/>
    <w:rsid w:val="001A24F0"/>
    <w:rPr>
      <w:b/>
      <w:bCs/>
    </w:rPr>
  </w:style>
  <w:style w:type="character" w:customStyle="1" w:styleId="CommentSubjectChar">
    <w:name w:val="Comment Subject Char"/>
    <w:basedOn w:val="CommentTextChar"/>
    <w:link w:val="CommentSubject"/>
    <w:uiPriority w:val="99"/>
    <w:semiHidden/>
    <w:rsid w:val="001A24F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4B3AA-70E0-4FCB-98B6-5606B349F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12392</Words>
  <Characters>70635</Characters>
  <Application>Microsoft Office Word</Application>
  <DocSecurity>0</DocSecurity>
  <Lines>588</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Salem, Ahmed</dc:creator>
  <cp:keywords/>
  <dc:description/>
  <cp:lastModifiedBy>Laura Dormer</cp:lastModifiedBy>
  <cp:revision>6</cp:revision>
  <dcterms:created xsi:type="dcterms:W3CDTF">2021-01-10T19:58:00Z</dcterms:created>
  <dcterms:modified xsi:type="dcterms:W3CDTF">2021-01-14T09:41:00Z</dcterms:modified>
</cp:coreProperties>
</file>