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9E193" w14:textId="35935144" w:rsidR="00A0461B" w:rsidRDefault="00747071" w:rsidP="00C271E4">
      <w:pPr>
        <w:pStyle w:val="Bibliography"/>
        <w:spacing w:after="120"/>
        <w:rPr>
          <w:rFonts w:ascii="Times New Roman" w:hAnsi="Times New Roman" w:cs="Times New Roman"/>
          <w:b/>
          <w:sz w:val="24"/>
          <w:szCs w:val="24"/>
        </w:rPr>
      </w:pPr>
      <w:r>
        <w:rPr>
          <w:rFonts w:ascii="Times New Roman" w:hAnsi="Times New Roman" w:cs="Times New Roman"/>
          <w:b/>
          <w:sz w:val="24"/>
          <w:szCs w:val="24"/>
        </w:rPr>
        <w:t>Appendix</w:t>
      </w:r>
    </w:p>
    <w:p w14:paraId="1D774392" w14:textId="14083B36" w:rsidR="00747071" w:rsidRDefault="00747071" w:rsidP="00747071">
      <w:pPr>
        <w:pStyle w:val="Caption"/>
        <w:keepNext/>
        <w:rPr>
          <w:rFonts w:ascii="Times New Roman" w:hAnsi="Times New Roman" w:cs="Times New Roman"/>
          <w:b/>
          <w:i w:val="0"/>
          <w:color w:val="auto"/>
          <w:sz w:val="24"/>
          <w:szCs w:val="24"/>
        </w:rPr>
      </w:pPr>
      <w:r w:rsidRPr="005E0ACB">
        <w:rPr>
          <w:rFonts w:ascii="Times New Roman" w:hAnsi="Times New Roman" w:cs="Times New Roman"/>
          <w:b/>
          <w:i w:val="0"/>
          <w:color w:val="auto"/>
          <w:sz w:val="24"/>
          <w:szCs w:val="24"/>
        </w:rPr>
        <w:t xml:space="preserve">Table </w:t>
      </w:r>
      <w:r>
        <w:rPr>
          <w:rFonts w:ascii="Times New Roman" w:hAnsi="Times New Roman" w:cs="Times New Roman"/>
          <w:b/>
          <w:i w:val="0"/>
          <w:color w:val="auto"/>
          <w:sz w:val="24"/>
          <w:szCs w:val="24"/>
        </w:rPr>
        <w:t>A1</w:t>
      </w:r>
      <w:r w:rsidRPr="005E0ACB">
        <w:rPr>
          <w:rFonts w:ascii="Times New Roman" w:hAnsi="Times New Roman" w:cs="Times New Roman"/>
          <w:b/>
          <w:i w:val="0"/>
          <w:color w:val="auto"/>
          <w:sz w:val="24"/>
          <w:szCs w:val="24"/>
        </w:rPr>
        <w:t>: Main model input parameters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015"/>
        <w:gridCol w:w="336"/>
        <w:gridCol w:w="258"/>
        <w:gridCol w:w="704"/>
        <w:gridCol w:w="308"/>
        <w:gridCol w:w="726"/>
        <w:gridCol w:w="927"/>
        <w:gridCol w:w="594"/>
        <w:gridCol w:w="653"/>
        <w:gridCol w:w="309"/>
        <w:gridCol w:w="319"/>
        <w:gridCol w:w="275"/>
        <w:gridCol w:w="868"/>
        <w:gridCol w:w="6"/>
        <w:gridCol w:w="1108"/>
      </w:tblGrid>
      <w:tr w:rsidR="00747071" w:rsidRPr="00747071" w14:paraId="1ADA2F94" w14:textId="77777777" w:rsidTr="00D015C9">
        <w:tc>
          <w:tcPr>
            <w:tcW w:w="2015" w:type="dxa"/>
            <w:tcBorders>
              <w:top w:val="single" w:sz="8" w:space="0" w:color="auto"/>
              <w:bottom w:val="single" w:sz="8" w:space="0" w:color="auto"/>
            </w:tcBorders>
          </w:tcPr>
          <w:p w14:paraId="0368011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Variable</w:t>
            </w:r>
          </w:p>
        </w:tc>
        <w:tc>
          <w:tcPr>
            <w:tcW w:w="6283" w:type="dxa"/>
            <w:gridSpan w:val="13"/>
            <w:tcBorders>
              <w:top w:val="single" w:sz="8" w:space="0" w:color="auto"/>
              <w:bottom w:val="single" w:sz="8" w:space="0" w:color="auto"/>
            </w:tcBorders>
          </w:tcPr>
          <w:p w14:paraId="47FED361"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Values</w:t>
            </w:r>
          </w:p>
        </w:tc>
        <w:tc>
          <w:tcPr>
            <w:tcW w:w="1108" w:type="dxa"/>
            <w:tcBorders>
              <w:top w:val="single" w:sz="8" w:space="0" w:color="auto"/>
              <w:bottom w:val="single" w:sz="8" w:space="0" w:color="auto"/>
            </w:tcBorders>
          </w:tcPr>
          <w:p w14:paraId="16000C0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Reference</w:t>
            </w:r>
          </w:p>
        </w:tc>
      </w:tr>
      <w:tr w:rsidR="00747071" w:rsidRPr="00747071" w14:paraId="16B416E2" w14:textId="77777777" w:rsidTr="00D015C9">
        <w:trPr>
          <w:trHeight w:val="158"/>
        </w:trPr>
        <w:tc>
          <w:tcPr>
            <w:tcW w:w="2015" w:type="dxa"/>
            <w:tcBorders>
              <w:top w:val="single" w:sz="8" w:space="0" w:color="auto"/>
            </w:tcBorders>
            <w:vAlign w:val="center"/>
          </w:tcPr>
          <w:p w14:paraId="3F5FFBBC" w14:textId="77777777" w:rsidR="00747071" w:rsidRPr="00747071" w:rsidRDefault="00747071" w:rsidP="00D015C9">
            <w:pPr>
              <w:rPr>
                <w:rFonts w:ascii="Times New Roman" w:hAnsi="Times New Roman" w:cs="Times New Roman"/>
                <w:sz w:val="24"/>
                <w:szCs w:val="24"/>
              </w:rPr>
            </w:pPr>
          </w:p>
        </w:tc>
        <w:tc>
          <w:tcPr>
            <w:tcW w:w="594" w:type="dxa"/>
            <w:gridSpan w:val="2"/>
            <w:tcBorders>
              <w:top w:val="single" w:sz="8" w:space="0" w:color="auto"/>
              <w:bottom w:val="single" w:sz="8" w:space="0" w:color="BFBFBF" w:themeColor="background1" w:themeShade="BF"/>
            </w:tcBorders>
            <w:vAlign w:val="center"/>
          </w:tcPr>
          <w:p w14:paraId="6049334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Year</w:t>
            </w:r>
          </w:p>
        </w:tc>
        <w:tc>
          <w:tcPr>
            <w:tcW w:w="1012" w:type="dxa"/>
            <w:gridSpan w:val="2"/>
            <w:tcBorders>
              <w:top w:val="single" w:sz="8" w:space="0" w:color="auto"/>
              <w:bottom w:val="single" w:sz="8" w:space="0" w:color="BFBFBF" w:themeColor="background1" w:themeShade="BF"/>
            </w:tcBorders>
            <w:vAlign w:val="center"/>
          </w:tcPr>
          <w:p w14:paraId="7340749E"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Patients</w:t>
            </w:r>
          </w:p>
        </w:tc>
        <w:tc>
          <w:tcPr>
            <w:tcW w:w="726" w:type="dxa"/>
            <w:tcBorders>
              <w:top w:val="single" w:sz="8" w:space="0" w:color="auto"/>
              <w:bottom w:val="single" w:sz="8" w:space="0" w:color="BFBFBF" w:themeColor="background1" w:themeShade="BF"/>
            </w:tcBorders>
            <w:vAlign w:val="center"/>
          </w:tcPr>
          <w:p w14:paraId="0AC6C51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Year</w:t>
            </w:r>
          </w:p>
        </w:tc>
        <w:tc>
          <w:tcPr>
            <w:tcW w:w="927" w:type="dxa"/>
            <w:tcBorders>
              <w:top w:val="single" w:sz="8" w:space="0" w:color="auto"/>
              <w:bottom w:val="single" w:sz="8" w:space="0" w:color="BFBFBF" w:themeColor="background1" w:themeShade="BF"/>
            </w:tcBorders>
            <w:vAlign w:val="center"/>
          </w:tcPr>
          <w:p w14:paraId="0683C83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Patients</w:t>
            </w:r>
          </w:p>
        </w:tc>
        <w:tc>
          <w:tcPr>
            <w:tcW w:w="594" w:type="dxa"/>
            <w:tcBorders>
              <w:top w:val="single" w:sz="8" w:space="0" w:color="auto"/>
              <w:bottom w:val="single" w:sz="8" w:space="0" w:color="BFBFBF" w:themeColor="background1" w:themeShade="BF"/>
            </w:tcBorders>
            <w:vAlign w:val="center"/>
          </w:tcPr>
          <w:p w14:paraId="08A4BD0D"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Year</w:t>
            </w:r>
          </w:p>
        </w:tc>
        <w:tc>
          <w:tcPr>
            <w:tcW w:w="962" w:type="dxa"/>
            <w:gridSpan w:val="2"/>
            <w:tcBorders>
              <w:top w:val="single" w:sz="8" w:space="0" w:color="auto"/>
              <w:bottom w:val="single" w:sz="8" w:space="0" w:color="BFBFBF" w:themeColor="background1" w:themeShade="BF"/>
            </w:tcBorders>
            <w:vAlign w:val="center"/>
          </w:tcPr>
          <w:p w14:paraId="32F551B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Patients</w:t>
            </w:r>
          </w:p>
        </w:tc>
        <w:tc>
          <w:tcPr>
            <w:tcW w:w="594" w:type="dxa"/>
            <w:gridSpan w:val="2"/>
            <w:tcBorders>
              <w:top w:val="single" w:sz="8" w:space="0" w:color="auto"/>
              <w:bottom w:val="single" w:sz="8" w:space="0" w:color="BFBFBF" w:themeColor="background1" w:themeShade="BF"/>
            </w:tcBorders>
            <w:vAlign w:val="center"/>
          </w:tcPr>
          <w:p w14:paraId="084DE4CE"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Year</w:t>
            </w:r>
          </w:p>
        </w:tc>
        <w:tc>
          <w:tcPr>
            <w:tcW w:w="874" w:type="dxa"/>
            <w:gridSpan w:val="2"/>
            <w:tcBorders>
              <w:top w:val="single" w:sz="8" w:space="0" w:color="auto"/>
              <w:bottom w:val="single" w:sz="8" w:space="0" w:color="BFBFBF" w:themeColor="background1" w:themeShade="BF"/>
            </w:tcBorders>
            <w:vAlign w:val="center"/>
          </w:tcPr>
          <w:p w14:paraId="2F4F733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Patients</w:t>
            </w:r>
          </w:p>
        </w:tc>
        <w:tc>
          <w:tcPr>
            <w:tcW w:w="1108" w:type="dxa"/>
            <w:tcBorders>
              <w:top w:val="single" w:sz="8" w:space="0" w:color="auto"/>
            </w:tcBorders>
            <w:vAlign w:val="center"/>
          </w:tcPr>
          <w:p w14:paraId="1603467E" w14:textId="77777777" w:rsidR="00747071" w:rsidRPr="00747071" w:rsidRDefault="00747071" w:rsidP="00D015C9">
            <w:pPr>
              <w:rPr>
                <w:rFonts w:ascii="Times New Roman" w:hAnsi="Times New Roman" w:cs="Times New Roman"/>
                <w:sz w:val="24"/>
                <w:szCs w:val="24"/>
              </w:rPr>
            </w:pPr>
          </w:p>
        </w:tc>
      </w:tr>
      <w:tr w:rsidR="00747071" w:rsidRPr="00747071" w14:paraId="2BE364C0" w14:textId="77777777" w:rsidTr="00D015C9">
        <w:trPr>
          <w:trHeight w:val="158"/>
        </w:trPr>
        <w:tc>
          <w:tcPr>
            <w:tcW w:w="2015" w:type="dxa"/>
            <w:vMerge w:val="restart"/>
            <w:vAlign w:val="center"/>
          </w:tcPr>
          <w:p w14:paraId="15DE9E0B" w14:textId="77777777" w:rsidR="00747071" w:rsidRPr="00747071" w:rsidRDefault="00747071" w:rsidP="00D015C9">
            <w:pPr>
              <w:rPr>
                <w:rFonts w:ascii="Times New Roman" w:hAnsi="Times New Roman" w:cs="Times New Roman"/>
                <w:sz w:val="24"/>
                <w:szCs w:val="24"/>
              </w:rPr>
            </w:pPr>
            <w:bookmarkStart w:id="0" w:name="_Hlk39741160"/>
            <w:r w:rsidRPr="00747071">
              <w:rPr>
                <w:rFonts w:ascii="Times New Roman" w:hAnsi="Times New Roman" w:cs="Times New Roman"/>
                <w:sz w:val="24"/>
                <w:szCs w:val="24"/>
              </w:rPr>
              <w:t xml:space="preserve">Absolute number of patients who are candidate for a first line treatment with anti-CD20 antibody (+chemotherapy) </w:t>
            </w:r>
          </w:p>
        </w:tc>
        <w:tc>
          <w:tcPr>
            <w:tcW w:w="594" w:type="dxa"/>
            <w:gridSpan w:val="2"/>
            <w:tcBorders>
              <w:top w:val="single" w:sz="8" w:space="0" w:color="BFBFBF" w:themeColor="background1" w:themeShade="BF"/>
            </w:tcBorders>
            <w:vAlign w:val="center"/>
          </w:tcPr>
          <w:p w14:paraId="1861B97B"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2017</w:t>
            </w:r>
          </w:p>
        </w:tc>
        <w:tc>
          <w:tcPr>
            <w:tcW w:w="1012" w:type="dxa"/>
            <w:gridSpan w:val="2"/>
            <w:tcBorders>
              <w:top w:val="single" w:sz="8" w:space="0" w:color="BFBFBF" w:themeColor="background1" w:themeShade="BF"/>
            </w:tcBorders>
            <w:vAlign w:val="center"/>
          </w:tcPr>
          <w:p w14:paraId="781560F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1,724</w:t>
            </w:r>
          </w:p>
        </w:tc>
        <w:tc>
          <w:tcPr>
            <w:tcW w:w="726" w:type="dxa"/>
            <w:tcBorders>
              <w:top w:val="single" w:sz="8" w:space="0" w:color="BFBFBF" w:themeColor="background1" w:themeShade="BF"/>
            </w:tcBorders>
            <w:vAlign w:val="center"/>
          </w:tcPr>
          <w:p w14:paraId="6736209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2021</w:t>
            </w:r>
          </w:p>
        </w:tc>
        <w:tc>
          <w:tcPr>
            <w:tcW w:w="927" w:type="dxa"/>
            <w:tcBorders>
              <w:top w:val="single" w:sz="8" w:space="0" w:color="BFBFBF" w:themeColor="background1" w:themeShade="BF"/>
            </w:tcBorders>
            <w:vAlign w:val="center"/>
          </w:tcPr>
          <w:p w14:paraId="228E70D2"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1,785</w:t>
            </w:r>
          </w:p>
        </w:tc>
        <w:tc>
          <w:tcPr>
            <w:tcW w:w="594" w:type="dxa"/>
            <w:tcBorders>
              <w:top w:val="single" w:sz="8" w:space="0" w:color="BFBFBF" w:themeColor="background1" w:themeShade="BF"/>
            </w:tcBorders>
            <w:vAlign w:val="center"/>
          </w:tcPr>
          <w:p w14:paraId="4D8AE1D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2025</w:t>
            </w:r>
          </w:p>
        </w:tc>
        <w:tc>
          <w:tcPr>
            <w:tcW w:w="962" w:type="dxa"/>
            <w:gridSpan w:val="2"/>
            <w:tcBorders>
              <w:top w:val="single" w:sz="8" w:space="0" w:color="BFBFBF" w:themeColor="background1" w:themeShade="BF"/>
            </w:tcBorders>
            <w:vAlign w:val="center"/>
          </w:tcPr>
          <w:p w14:paraId="64069566"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1,838</w:t>
            </w:r>
          </w:p>
        </w:tc>
        <w:tc>
          <w:tcPr>
            <w:tcW w:w="594" w:type="dxa"/>
            <w:gridSpan w:val="2"/>
            <w:tcBorders>
              <w:top w:val="single" w:sz="8" w:space="0" w:color="BFBFBF" w:themeColor="background1" w:themeShade="BF"/>
            </w:tcBorders>
            <w:vAlign w:val="center"/>
          </w:tcPr>
          <w:p w14:paraId="6B9E4EE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2029</w:t>
            </w:r>
          </w:p>
        </w:tc>
        <w:tc>
          <w:tcPr>
            <w:tcW w:w="874" w:type="dxa"/>
            <w:gridSpan w:val="2"/>
            <w:tcBorders>
              <w:top w:val="single" w:sz="8" w:space="0" w:color="BFBFBF" w:themeColor="background1" w:themeShade="BF"/>
            </w:tcBorders>
            <w:vAlign w:val="center"/>
          </w:tcPr>
          <w:p w14:paraId="334606DA"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1,876</w:t>
            </w:r>
          </w:p>
        </w:tc>
        <w:tc>
          <w:tcPr>
            <w:tcW w:w="1108" w:type="dxa"/>
            <w:vMerge w:val="restart"/>
            <w:tcBorders>
              <w:bottom w:val="single" w:sz="8" w:space="0" w:color="BFBFBF" w:themeColor="background1" w:themeShade="BF"/>
            </w:tcBorders>
            <w:vAlign w:val="center"/>
          </w:tcPr>
          <w:p w14:paraId="2081BAAE" w14:textId="645C3C59"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rSiF8sYY","properties":{"formattedCitation":"[1,12]","plainCitation":"[1,12]","noteIndex":0},"citationItems":[{"id":38,"uris":["http://zotero.org/users/4824451/items/A3EMNDKC"],"uri":["http://zotero.org/users/4824451/items/A3EMNDKC"],"itemData":{"id":38,"type":"webpage","container-title":"Zentrum für Krebsregisterdaten im Robert-Koch-Institut","title":"Follikuläres Non-Hodgkin-Lymphom (ICD-10 Code C82)","URL":"www.krebsdaten.de/abfrage","author":[{"family":"RKI","given":""}]}},{"id":45,"uris":["http://zotero.org/users/4824451/items/24ZS9V78"],"uri":["http://zotero.org/users/4824451/items/24ZS9V78"],"itemData":{"id":45,"type":"article","title":"Dossier zur Nutzenbewertung gemäß § 35a SGB V - Obinutuzumab (Gazyvaro) - Modul 3 A","author":[{"family":"Roche Pharma AG","given":""}],"issued":{"date-parts":[["2017",9,21]]}}}],"schema":"https://github.com/citation-style-language/schema/raw/master/csl-citation.json"}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[1,12]</w:t>
            </w:r>
            <w:r w:rsidRPr="00747071">
              <w:rPr>
                <w:rFonts w:ascii="Times New Roman" w:hAnsi="Times New Roman" w:cs="Times New Roman"/>
                <w:sz w:val="24"/>
                <w:szCs w:val="24"/>
              </w:rPr>
              <w:fldChar w:fldCharType="end"/>
            </w:r>
          </w:p>
        </w:tc>
      </w:tr>
      <w:bookmarkEnd w:id="0"/>
      <w:tr w:rsidR="00747071" w:rsidRPr="00747071" w14:paraId="405AC79B" w14:textId="77777777" w:rsidTr="00D015C9">
        <w:trPr>
          <w:trHeight w:val="155"/>
        </w:trPr>
        <w:tc>
          <w:tcPr>
            <w:tcW w:w="2015" w:type="dxa"/>
            <w:vMerge/>
            <w:vAlign w:val="center"/>
          </w:tcPr>
          <w:p w14:paraId="4D9CF4CA" w14:textId="77777777" w:rsidR="00747071" w:rsidRPr="00747071" w:rsidRDefault="00747071" w:rsidP="00D015C9">
            <w:pPr>
              <w:rPr>
                <w:rFonts w:ascii="Times New Roman" w:hAnsi="Times New Roman" w:cs="Times New Roman"/>
                <w:sz w:val="24"/>
                <w:szCs w:val="24"/>
              </w:rPr>
            </w:pPr>
          </w:p>
        </w:tc>
        <w:tc>
          <w:tcPr>
            <w:tcW w:w="594" w:type="dxa"/>
            <w:gridSpan w:val="2"/>
            <w:vAlign w:val="center"/>
          </w:tcPr>
          <w:p w14:paraId="1967B776"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2018</w:t>
            </w:r>
          </w:p>
        </w:tc>
        <w:tc>
          <w:tcPr>
            <w:tcW w:w="1012" w:type="dxa"/>
            <w:gridSpan w:val="2"/>
            <w:vAlign w:val="center"/>
          </w:tcPr>
          <w:p w14:paraId="3AF5E7A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1,735</w:t>
            </w:r>
          </w:p>
        </w:tc>
        <w:tc>
          <w:tcPr>
            <w:tcW w:w="726" w:type="dxa"/>
            <w:vAlign w:val="center"/>
          </w:tcPr>
          <w:p w14:paraId="06C5F8C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2022</w:t>
            </w:r>
          </w:p>
        </w:tc>
        <w:tc>
          <w:tcPr>
            <w:tcW w:w="927" w:type="dxa"/>
            <w:vAlign w:val="center"/>
          </w:tcPr>
          <w:p w14:paraId="73E663E0"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1,807</w:t>
            </w:r>
          </w:p>
        </w:tc>
        <w:tc>
          <w:tcPr>
            <w:tcW w:w="594" w:type="dxa"/>
            <w:vAlign w:val="center"/>
          </w:tcPr>
          <w:p w14:paraId="68928A4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2026</w:t>
            </w:r>
          </w:p>
        </w:tc>
        <w:tc>
          <w:tcPr>
            <w:tcW w:w="962" w:type="dxa"/>
            <w:gridSpan w:val="2"/>
            <w:vAlign w:val="center"/>
          </w:tcPr>
          <w:p w14:paraId="58D0849D"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1,848</w:t>
            </w:r>
          </w:p>
        </w:tc>
        <w:tc>
          <w:tcPr>
            <w:tcW w:w="594" w:type="dxa"/>
            <w:gridSpan w:val="2"/>
            <w:vAlign w:val="center"/>
          </w:tcPr>
          <w:p w14:paraId="527C504E"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2030</w:t>
            </w:r>
          </w:p>
        </w:tc>
        <w:tc>
          <w:tcPr>
            <w:tcW w:w="874" w:type="dxa"/>
            <w:gridSpan w:val="2"/>
            <w:vAlign w:val="center"/>
          </w:tcPr>
          <w:p w14:paraId="06218EF1"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1,885</w:t>
            </w:r>
          </w:p>
        </w:tc>
        <w:tc>
          <w:tcPr>
            <w:tcW w:w="1108" w:type="dxa"/>
            <w:vMerge/>
            <w:tcBorders>
              <w:bottom w:val="single" w:sz="8" w:space="0" w:color="BFBFBF" w:themeColor="background1" w:themeShade="BF"/>
            </w:tcBorders>
            <w:vAlign w:val="center"/>
          </w:tcPr>
          <w:p w14:paraId="5075556B" w14:textId="77777777" w:rsidR="00747071" w:rsidRPr="00747071" w:rsidRDefault="00747071" w:rsidP="00D015C9">
            <w:pPr>
              <w:rPr>
                <w:rFonts w:ascii="Times New Roman" w:hAnsi="Times New Roman" w:cs="Times New Roman"/>
                <w:sz w:val="24"/>
                <w:szCs w:val="24"/>
              </w:rPr>
            </w:pPr>
          </w:p>
        </w:tc>
      </w:tr>
      <w:tr w:rsidR="00747071" w:rsidRPr="00747071" w14:paraId="7B5CA7E3" w14:textId="77777777" w:rsidTr="00D015C9">
        <w:trPr>
          <w:trHeight w:val="155"/>
        </w:trPr>
        <w:tc>
          <w:tcPr>
            <w:tcW w:w="2015" w:type="dxa"/>
            <w:vMerge/>
            <w:vAlign w:val="center"/>
          </w:tcPr>
          <w:p w14:paraId="75A86810" w14:textId="77777777" w:rsidR="00747071" w:rsidRPr="00747071" w:rsidRDefault="00747071" w:rsidP="00D015C9">
            <w:pPr>
              <w:rPr>
                <w:rFonts w:ascii="Times New Roman" w:hAnsi="Times New Roman" w:cs="Times New Roman"/>
                <w:sz w:val="24"/>
                <w:szCs w:val="24"/>
              </w:rPr>
            </w:pPr>
          </w:p>
        </w:tc>
        <w:tc>
          <w:tcPr>
            <w:tcW w:w="594" w:type="dxa"/>
            <w:gridSpan w:val="2"/>
            <w:vAlign w:val="center"/>
          </w:tcPr>
          <w:p w14:paraId="58AD1716"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2019</w:t>
            </w:r>
          </w:p>
        </w:tc>
        <w:tc>
          <w:tcPr>
            <w:tcW w:w="1012" w:type="dxa"/>
            <w:gridSpan w:val="2"/>
            <w:vAlign w:val="center"/>
          </w:tcPr>
          <w:p w14:paraId="035B88C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1,764</w:t>
            </w:r>
          </w:p>
        </w:tc>
        <w:tc>
          <w:tcPr>
            <w:tcW w:w="726" w:type="dxa"/>
            <w:vAlign w:val="center"/>
          </w:tcPr>
          <w:p w14:paraId="699AEF5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2023</w:t>
            </w:r>
          </w:p>
        </w:tc>
        <w:tc>
          <w:tcPr>
            <w:tcW w:w="927" w:type="dxa"/>
            <w:vAlign w:val="center"/>
          </w:tcPr>
          <w:p w14:paraId="77DCCD8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1,818</w:t>
            </w:r>
          </w:p>
        </w:tc>
        <w:tc>
          <w:tcPr>
            <w:tcW w:w="594" w:type="dxa"/>
            <w:vAlign w:val="center"/>
          </w:tcPr>
          <w:p w14:paraId="6CC55D40"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2027</w:t>
            </w:r>
          </w:p>
        </w:tc>
        <w:tc>
          <w:tcPr>
            <w:tcW w:w="962" w:type="dxa"/>
            <w:gridSpan w:val="2"/>
            <w:vAlign w:val="center"/>
          </w:tcPr>
          <w:p w14:paraId="6A975CDA"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1,859</w:t>
            </w:r>
          </w:p>
        </w:tc>
        <w:tc>
          <w:tcPr>
            <w:tcW w:w="594" w:type="dxa"/>
            <w:gridSpan w:val="2"/>
            <w:vAlign w:val="center"/>
          </w:tcPr>
          <w:p w14:paraId="4BD21A18" w14:textId="77777777" w:rsidR="00747071" w:rsidRPr="00747071" w:rsidRDefault="00747071" w:rsidP="00D015C9">
            <w:pPr>
              <w:rPr>
                <w:rFonts w:ascii="Times New Roman" w:hAnsi="Times New Roman" w:cs="Times New Roman"/>
                <w:sz w:val="24"/>
                <w:szCs w:val="24"/>
              </w:rPr>
            </w:pPr>
          </w:p>
        </w:tc>
        <w:tc>
          <w:tcPr>
            <w:tcW w:w="874" w:type="dxa"/>
            <w:gridSpan w:val="2"/>
            <w:vAlign w:val="center"/>
          </w:tcPr>
          <w:p w14:paraId="563FF112" w14:textId="77777777" w:rsidR="00747071" w:rsidRPr="00747071" w:rsidRDefault="00747071" w:rsidP="00D015C9">
            <w:pPr>
              <w:rPr>
                <w:rFonts w:ascii="Times New Roman" w:hAnsi="Times New Roman" w:cs="Times New Roman"/>
                <w:sz w:val="24"/>
                <w:szCs w:val="24"/>
              </w:rPr>
            </w:pPr>
          </w:p>
        </w:tc>
        <w:tc>
          <w:tcPr>
            <w:tcW w:w="1108" w:type="dxa"/>
            <w:vMerge/>
            <w:tcBorders>
              <w:bottom w:val="single" w:sz="8" w:space="0" w:color="BFBFBF" w:themeColor="background1" w:themeShade="BF"/>
            </w:tcBorders>
            <w:vAlign w:val="center"/>
          </w:tcPr>
          <w:p w14:paraId="6E101E05" w14:textId="77777777" w:rsidR="00747071" w:rsidRPr="00747071" w:rsidRDefault="00747071" w:rsidP="00D015C9">
            <w:pPr>
              <w:rPr>
                <w:rFonts w:ascii="Times New Roman" w:hAnsi="Times New Roman" w:cs="Times New Roman"/>
                <w:sz w:val="24"/>
                <w:szCs w:val="24"/>
              </w:rPr>
            </w:pPr>
          </w:p>
        </w:tc>
      </w:tr>
      <w:tr w:rsidR="00747071" w:rsidRPr="00747071" w14:paraId="7B10485E" w14:textId="77777777" w:rsidTr="00D015C9">
        <w:trPr>
          <w:trHeight w:val="155"/>
        </w:trPr>
        <w:tc>
          <w:tcPr>
            <w:tcW w:w="2015" w:type="dxa"/>
            <w:vMerge/>
            <w:tcBorders>
              <w:bottom w:val="single" w:sz="8" w:space="0" w:color="BFBFBF" w:themeColor="background1" w:themeShade="BF"/>
            </w:tcBorders>
            <w:vAlign w:val="center"/>
          </w:tcPr>
          <w:p w14:paraId="2CA1BC42" w14:textId="77777777" w:rsidR="00747071" w:rsidRPr="00747071" w:rsidRDefault="00747071" w:rsidP="00D015C9">
            <w:pPr>
              <w:rPr>
                <w:rFonts w:ascii="Times New Roman" w:hAnsi="Times New Roman" w:cs="Times New Roman"/>
                <w:sz w:val="24"/>
                <w:szCs w:val="24"/>
              </w:rPr>
            </w:pPr>
          </w:p>
        </w:tc>
        <w:tc>
          <w:tcPr>
            <w:tcW w:w="594" w:type="dxa"/>
            <w:gridSpan w:val="2"/>
            <w:tcBorders>
              <w:bottom w:val="single" w:sz="8" w:space="0" w:color="BFBFBF" w:themeColor="background1" w:themeShade="BF"/>
            </w:tcBorders>
            <w:vAlign w:val="center"/>
          </w:tcPr>
          <w:p w14:paraId="53BFEF24"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2020</w:t>
            </w:r>
          </w:p>
        </w:tc>
        <w:tc>
          <w:tcPr>
            <w:tcW w:w="1012" w:type="dxa"/>
            <w:gridSpan w:val="2"/>
            <w:tcBorders>
              <w:bottom w:val="single" w:sz="8" w:space="0" w:color="BFBFBF" w:themeColor="background1" w:themeShade="BF"/>
            </w:tcBorders>
            <w:vAlign w:val="center"/>
          </w:tcPr>
          <w:p w14:paraId="054616A4"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1,783</w:t>
            </w:r>
          </w:p>
        </w:tc>
        <w:tc>
          <w:tcPr>
            <w:tcW w:w="726" w:type="dxa"/>
            <w:tcBorders>
              <w:bottom w:val="single" w:sz="8" w:space="0" w:color="BFBFBF" w:themeColor="background1" w:themeShade="BF"/>
            </w:tcBorders>
            <w:vAlign w:val="center"/>
          </w:tcPr>
          <w:p w14:paraId="6CDF4DE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2024</w:t>
            </w:r>
          </w:p>
        </w:tc>
        <w:tc>
          <w:tcPr>
            <w:tcW w:w="927" w:type="dxa"/>
            <w:tcBorders>
              <w:bottom w:val="single" w:sz="8" w:space="0" w:color="BFBFBF" w:themeColor="background1" w:themeShade="BF"/>
            </w:tcBorders>
            <w:vAlign w:val="center"/>
          </w:tcPr>
          <w:p w14:paraId="4DBC2C7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1,828</w:t>
            </w:r>
          </w:p>
        </w:tc>
        <w:tc>
          <w:tcPr>
            <w:tcW w:w="594" w:type="dxa"/>
            <w:tcBorders>
              <w:bottom w:val="single" w:sz="8" w:space="0" w:color="BFBFBF" w:themeColor="background1" w:themeShade="BF"/>
            </w:tcBorders>
            <w:vAlign w:val="center"/>
          </w:tcPr>
          <w:p w14:paraId="4703E9F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2028</w:t>
            </w:r>
          </w:p>
        </w:tc>
        <w:tc>
          <w:tcPr>
            <w:tcW w:w="962" w:type="dxa"/>
            <w:gridSpan w:val="2"/>
            <w:tcBorders>
              <w:bottom w:val="single" w:sz="8" w:space="0" w:color="BFBFBF" w:themeColor="background1" w:themeShade="BF"/>
            </w:tcBorders>
            <w:vAlign w:val="center"/>
          </w:tcPr>
          <w:p w14:paraId="7C337CC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1,868</w:t>
            </w:r>
          </w:p>
        </w:tc>
        <w:tc>
          <w:tcPr>
            <w:tcW w:w="594" w:type="dxa"/>
            <w:gridSpan w:val="2"/>
            <w:tcBorders>
              <w:bottom w:val="single" w:sz="8" w:space="0" w:color="BFBFBF" w:themeColor="background1" w:themeShade="BF"/>
            </w:tcBorders>
            <w:vAlign w:val="center"/>
          </w:tcPr>
          <w:p w14:paraId="5E4796AB" w14:textId="77777777" w:rsidR="00747071" w:rsidRPr="00747071" w:rsidRDefault="00747071" w:rsidP="00D015C9">
            <w:pPr>
              <w:rPr>
                <w:rFonts w:ascii="Times New Roman" w:hAnsi="Times New Roman" w:cs="Times New Roman"/>
                <w:sz w:val="24"/>
                <w:szCs w:val="24"/>
              </w:rPr>
            </w:pPr>
          </w:p>
        </w:tc>
        <w:tc>
          <w:tcPr>
            <w:tcW w:w="874" w:type="dxa"/>
            <w:gridSpan w:val="2"/>
            <w:tcBorders>
              <w:bottom w:val="single" w:sz="8" w:space="0" w:color="BFBFBF" w:themeColor="background1" w:themeShade="BF"/>
            </w:tcBorders>
            <w:vAlign w:val="center"/>
          </w:tcPr>
          <w:p w14:paraId="7B6C01FF" w14:textId="77777777" w:rsidR="00747071" w:rsidRPr="00747071" w:rsidRDefault="00747071" w:rsidP="00D015C9">
            <w:pPr>
              <w:rPr>
                <w:rFonts w:ascii="Times New Roman" w:hAnsi="Times New Roman" w:cs="Times New Roman"/>
                <w:sz w:val="24"/>
                <w:szCs w:val="24"/>
              </w:rPr>
            </w:pPr>
          </w:p>
        </w:tc>
        <w:tc>
          <w:tcPr>
            <w:tcW w:w="1108" w:type="dxa"/>
            <w:vMerge/>
            <w:tcBorders>
              <w:bottom w:val="single" w:sz="8" w:space="0" w:color="BFBFBF" w:themeColor="background1" w:themeShade="BF"/>
            </w:tcBorders>
            <w:vAlign w:val="center"/>
          </w:tcPr>
          <w:p w14:paraId="799598B5" w14:textId="77777777" w:rsidR="00747071" w:rsidRPr="00747071" w:rsidRDefault="00747071" w:rsidP="00D015C9">
            <w:pPr>
              <w:rPr>
                <w:rFonts w:ascii="Times New Roman" w:hAnsi="Times New Roman" w:cs="Times New Roman"/>
                <w:sz w:val="24"/>
                <w:szCs w:val="24"/>
              </w:rPr>
            </w:pPr>
          </w:p>
        </w:tc>
      </w:tr>
      <w:tr w:rsidR="00747071" w:rsidRPr="00747071" w14:paraId="7BAA828F" w14:textId="77777777" w:rsidTr="00D015C9">
        <w:trPr>
          <w:trHeight w:val="40"/>
        </w:trPr>
        <w:tc>
          <w:tcPr>
            <w:tcW w:w="2015" w:type="dxa"/>
            <w:tcBorders>
              <w:top w:val="single" w:sz="8" w:space="0" w:color="BFBFBF" w:themeColor="background1" w:themeShade="BF"/>
            </w:tcBorders>
            <w:vAlign w:val="center"/>
          </w:tcPr>
          <w:p w14:paraId="3AB53EA7" w14:textId="77777777" w:rsidR="00747071" w:rsidRPr="00747071" w:rsidRDefault="00747071" w:rsidP="00D015C9">
            <w:pPr>
              <w:rPr>
                <w:rFonts w:ascii="Times New Roman" w:hAnsi="Times New Roman" w:cs="Times New Roman"/>
                <w:sz w:val="24"/>
                <w:szCs w:val="24"/>
              </w:rPr>
            </w:pPr>
          </w:p>
        </w:tc>
        <w:tc>
          <w:tcPr>
            <w:tcW w:w="1298" w:type="dxa"/>
            <w:gridSpan w:val="3"/>
            <w:tcBorders>
              <w:top w:val="single" w:sz="8" w:space="0" w:color="BFBFBF" w:themeColor="background1" w:themeShade="BF"/>
              <w:bottom w:val="single" w:sz="8" w:space="0" w:color="BFBFBF" w:themeColor="background1" w:themeShade="BF"/>
            </w:tcBorders>
            <w:vAlign w:val="center"/>
          </w:tcPr>
          <w:p w14:paraId="563153E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Age group</w:t>
            </w:r>
          </w:p>
        </w:tc>
        <w:tc>
          <w:tcPr>
            <w:tcW w:w="1961" w:type="dxa"/>
            <w:gridSpan w:val="3"/>
            <w:tcBorders>
              <w:top w:val="single" w:sz="8" w:space="0" w:color="BFBFBF" w:themeColor="background1" w:themeShade="BF"/>
              <w:bottom w:val="single" w:sz="8" w:space="0" w:color="BFBFBF" w:themeColor="background1" w:themeShade="BF"/>
            </w:tcBorders>
            <w:vAlign w:val="center"/>
          </w:tcPr>
          <w:p w14:paraId="3D6D7AF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Share male</w:t>
            </w:r>
          </w:p>
        </w:tc>
        <w:tc>
          <w:tcPr>
            <w:tcW w:w="1247" w:type="dxa"/>
            <w:gridSpan w:val="2"/>
            <w:tcBorders>
              <w:top w:val="single" w:sz="8" w:space="0" w:color="BFBFBF" w:themeColor="background1" w:themeShade="BF"/>
              <w:bottom w:val="single" w:sz="8" w:space="0" w:color="BFBFBF" w:themeColor="background1" w:themeShade="BF"/>
            </w:tcBorders>
            <w:vAlign w:val="center"/>
          </w:tcPr>
          <w:p w14:paraId="2C136E10"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Age group</w:t>
            </w:r>
          </w:p>
        </w:tc>
        <w:tc>
          <w:tcPr>
            <w:tcW w:w="1777" w:type="dxa"/>
            <w:gridSpan w:val="5"/>
            <w:tcBorders>
              <w:top w:val="single" w:sz="8" w:space="0" w:color="BFBFBF" w:themeColor="background1" w:themeShade="BF"/>
              <w:bottom w:val="single" w:sz="8" w:space="0" w:color="BFBFBF" w:themeColor="background1" w:themeShade="BF"/>
            </w:tcBorders>
            <w:vAlign w:val="center"/>
          </w:tcPr>
          <w:p w14:paraId="007219DB"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Share male</w:t>
            </w:r>
          </w:p>
        </w:tc>
        <w:tc>
          <w:tcPr>
            <w:tcW w:w="1108" w:type="dxa"/>
            <w:tcBorders>
              <w:top w:val="single" w:sz="8" w:space="0" w:color="BFBFBF" w:themeColor="background1" w:themeShade="BF"/>
            </w:tcBorders>
            <w:vAlign w:val="center"/>
          </w:tcPr>
          <w:p w14:paraId="3456A952" w14:textId="77777777" w:rsidR="00747071" w:rsidRPr="00747071" w:rsidRDefault="00747071" w:rsidP="00D015C9">
            <w:pPr>
              <w:rPr>
                <w:rFonts w:ascii="Times New Roman" w:hAnsi="Times New Roman" w:cs="Times New Roman"/>
                <w:sz w:val="24"/>
                <w:szCs w:val="24"/>
              </w:rPr>
            </w:pPr>
          </w:p>
        </w:tc>
      </w:tr>
      <w:tr w:rsidR="00747071" w:rsidRPr="00747071" w14:paraId="3231B6A7" w14:textId="77777777" w:rsidTr="00D015C9">
        <w:trPr>
          <w:trHeight w:val="40"/>
        </w:trPr>
        <w:tc>
          <w:tcPr>
            <w:tcW w:w="2015" w:type="dxa"/>
            <w:vMerge w:val="restart"/>
            <w:vAlign w:val="center"/>
          </w:tcPr>
          <w:p w14:paraId="575F902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Share of male patients</w:t>
            </w:r>
          </w:p>
        </w:tc>
        <w:tc>
          <w:tcPr>
            <w:tcW w:w="1298" w:type="dxa"/>
            <w:gridSpan w:val="3"/>
            <w:tcBorders>
              <w:top w:val="single" w:sz="8" w:space="0" w:color="BFBFBF" w:themeColor="background1" w:themeShade="BF"/>
            </w:tcBorders>
            <w:vAlign w:val="center"/>
          </w:tcPr>
          <w:p w14:paraId="08296B6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20-29</w:t>
            </w:r>
          </w:p>
        </w:tc>
        <w:tc>
          <w:tcPr>
            <w:tcW w:w="1961" w:type="dxa"/>
            <w:gridSpan w:val="3"/>
            <w:tcBorders>
              <w:top w:val="single" w:sz="8" w:space="0" w:color="BFBFBF" w:themeColor="background1" w:themeShade="BF"/>
            </w:tcBorders>
            <w:vAlign w:val="center"/>
          </w:tcPr>
          <w:p w14:paraId="380A1C5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59.10 %</w:t>
            </w:r>
          </w:p>
        </w:tc>
        <w:tc>
          <w:tcPr>
            <w:tcW w:w="1247" w:type="dxa"/>
            <w:gridSpan w:val="2"/>
            <w:tcBorders>
              <w:top w:val="single" w:sz="8" w:space="0" w:color="BFBFBF" w:themeColor="background1" w:themeShade="BF"/>
            </w:tcBorders>
            <w:vAlign w:val="center"/>
          </w:tcPr>
          <w:p w14:paraId="76EE323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60-69</w:t>
            </w:r>
          </w:p>
        </w:tc>
        <w:tc>
          <w:tcPr>
            <w:tcW w:w="1777" w:type="dxa"/>
            <w:gridSpan w:val="5"/>
            <w:tcBorders>
              <w:top w:val="single" w:sz="8" w:space="0" w:color="BFBFBF" w:themeColor="background1" w:themeShade="BF"/>
            </w:tcBorders>
            <w:vAlign w:val="center"/>
          </w:tcPr>
          <w:p w14:paraId="2B091E1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44.82 %</w:t>
            </w:r>
          </w:p>
        </w:tc>
        <w:tc>
          <w:tcPr>
            <w:tcW w:w="1108" w:type="dxa"/>
            <w:vMerge w:val="restart"/>
            <w:tcBorders>
              <w:bottom w:val="single" w:sz="8" w:space="0" w:color="BFBFBF" w:themeColor="background1" w:themeShade="BF"/>
            </w:tcBorders>
            <w:vAlign w:val="center"/>
          </w:tcPr>
          <w:p w14:paraId="17D3C4CD" w14:textId="0319BDD8"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4pim2out","properties":{"formattedCitation":"[1]","plainCitation":"[1]","noteIndex":0},"citationItems":[{"id":38,"uris":["http://zotero.org/users/4824451/items/A3EMNDKC"],"uri":["http://zotero.org/users/4824451/items/A3EMNDKC"],"itemData":{"id":38,"type":"webpage","container-title":"Zentrum für Krebsregisterdaten im Robert-Koch-Institut","title":"Follikuläres Non-Hodgkin-Lymphom (ICD-10 Code C82)","URL":"www.krebsdaten.de/abfrage","author":[{"family":"RKI","given":""}]}}],"schema":"https://github.com/citation-style-language/schema/raw/master/csl-citation.json"}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[1]</w:t>
            </w:r>
            <w:r w:rsidRPr="00747071">
              <w:rPr>
                <w:rFonts w:ascii="Times New Roman" w:hAnsi="Times New Roman" w:cs="Times New Roman"/>
                <w:sz w:val="24"/>
                <w:szCs w:val="24"/>
              </w:rPr>
              <w:fldChar w:fldCharType="end"/>
            </w:r>
          </w:p>
        </w:tc>
      </w:tr>
      <w:tr w:rsidR="00747071" w:rsidRPr="00747071" w14:paraId="07B8453F" w14:textId="77777777" w:rsidTr="00D015C9">
        <w:trPr>
          <w:trHeight w:val="38"/>
        </w:trPr>
        <w:tc>
          <w:tcPr>
            <w:tcW w:w="2015" w:type="dxa"/>
            <w:vMerge/>
            <w:vAlign w:val="center"/>
          </w:tcPr>
          <w:p w14:paraId="3838F7C4"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7C85DE8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30-39</w:t>
            </w:r>
          </w:p>
        </w:tc>
        <w:tc>
          <w:tcPr>
            <w:tcW w:w="1961" w:type="dxa"/>
            <w:gridSpan w:val="3"/>
            <w:vAlign w:val="center"/>
          </w:tcPr>
          <w:p w14:paraId="36B720C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51.61 %</w:t>
            </w:r>
          </w:p>
        </w:tc>
        <w:tc>
          <w:tcPr>
            <w:tcW w:w="1247" w:type="dxa"/>
            <w:gridSpan w:val="2"/>
            <w:vAlign w:val="center"/>
          </w:tcPr>
          <w:p w14:paraId="2A7191F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70-79</w:t>
            </w:r>
          </w:p>
        </w:tc>
        <w:tc>
          <w:tcPr>
            <w:tcW w:w="1777" w:type="dxa"/>
            <w:gridSpan w:val="5"/>
            <w:vAlign w:val="center"/>
          </w:tcPr>
          <w:p w14:paraId="61F98D7D"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47.03 %</w:t>
            </w:r>
          </w:p>
        </w:tc>
        <w:tc>
          <w:tcPr>
            <w:tcW w:w="1108" w:type="dxa"/>
            <w:vMerge/>
            <w:tcBorders>
              <w:bottom w:val="single" w:sz="8" w:space="0" w:color="BFBFBF" w:themeColor="background1" w:themeShade="BF"/>
            </w:tcBorders>
            <w:vAlign w:val="center"/>
          </w:tcPr>
          <w:p w14:paraId="3DB5EFAB" w14:textId="77777777" w:rsidR="00747071" w:rsidRPr="00747071" w:rsidRDefault="00747071" w:rsidP="00D015C9">
            <w:pPr>
              <w:rPr>
                <w:rFonts w:ascii="Times New Roman" w:hAnsi="Times New Roman" w:cs="Times New Roman"/>
                <w:sz w:val="24"/>
                <w:szCs w:val="24"/>
              </w:rPr>
            </w:pPr>
          </w:p>
        </w:tc>
      </w:tr>
      <w:tr w:rsidR="00747071" w:rsidRPr="00747071" w14:paraId="097FD4A9" w14:textId="77777777" w:rsidTr="00D015C9">
        <w:trPr>
          <w:trHeight w:val="38"/>
        </w:trPr>
        <w:tc>
          <w:tcPr>
            <w:tcW w:w="2015" w:type="dxa"/>
            <w:vMerge/>
            <w:vAlign w:val="center"/>
          </w:tcPr>
          <w:p w14:paraId="4345385C"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518FFD4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40-49</w:t>
            </w:r>
          </w:p>
        </w:tc>
        <w:tc>
          <w:tcPr>
            <w:tcW w:w="1961" w:type="dxa"/>
            <w:gridSpan w:val="3"/>
            <w:vAlign w:val="center"/>
          </w:tcPr>
          <w:p w14:paraId="1BF4A786"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51.84 %</w:t>
            </w:r>
          </w:p>
        </w:tc>
        <w:tc>
          <w:tcPr>
            <w:tcW w:w="1247" w:type="dxa"/>
            <w:gridSpan w:val="2"/>
            <w:vAlign w:val="center"/>
          </w:tcPr>
          <w:p w14:paraId="13CB768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80+</w:t>
            </w:r>
          </w:p>
        </w:tc>
        <w:tc>
          <w:tcPr>
            <w:tcW w:w="1777" w:type="dxa"/>
            <w:gridSpan w:val="5"/>
            <w:vAlign w:val="center"/>
          </w:tcPr>
          <w:p w14:paraId="7F8EF161"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44.59 %</w:t>
            </w:r>
          </w:p>
        </w:tc>
        <w:tc>
          <w:tcPr>
            <w:tcW w:w="1108" w:type="dxa"/>
            <w:vMerge/>
            <w:tcBorders>
              <w:bottom w:val="single" w:sz="8" w:space="0" w:color="BFBFBF" w:themeColor="background1" w:themeShade="BF"/>
            </w:tcBorders>
            <w:vAlign w:val="center"/>
          </w:tcPr>
          <w:p w14:paraId="29CF1C5D" w14:textId="77777777" w:rsidR="00747071" w:rsidRPr="00747071" w:rsidRDefault="00747071" w:rsidP="00D015C9">
            <w:pPr>
              <w:rPr>
                <w:rFonts w:ascii="Times New Roman" w:hAnsi="Times New Roman" w:cs="Times New Roman"/>
                <w:sz w:val="24"/>
                <w:szCs w:val="24"/>
              </w:rPr>
            </w:pPr>
          </w:p>
        </w:tc>
      </w:tr>
      <w:tr w:rsidR="00747071" w:rsidRPr="00747071" w14:paraId="0B503D1C" w14:textId="77777777" w:rsidTr="00D015C9">
        <w:trPr>
          <w:trHeight w:val="38"/>
        </w:trPr>
        <w:tc>
          <w:tcPr>
            <w:tcW w:w="2015" w:type="dxa"/>
            <w:vMerge/>
            <w:tcBorders>
              <w:bottom w:val="single" w:sz="8" w:space="0" w:color="BFBFBF" w:themeColor="background1" w:themeShade="BF"/>
            </w:tcBorders>
            <w:vAlign w:val="center"/>
          </w:tcPr>
          <w:p w14:paraId="080E05B4" w14:textId="77777777" w:rsidR="00747071" w:rsidRPr="00747071" w:rsidRDefault="00747071" w:rsidP="00D015C9">
            <w:pPr>
              <w:rPr>
                <w:rFonts w:ascii="Times New Roman" w:hAnsi="Times New Roman" w:cs="Times New Roman"/>
                <w:sz w:val="24"/>
                <w:szCs w:val="24"/>
              </w:rPr>
            </w:pPr>
          </w:p>
        </w:tc>
        <w:tc>
          <w:tcPr>
            <w:tcW w:w="1298" w:type="dxa"/>
            <w:gridSpan w:val="3"/>
            <w:tcBorders>
              <w:bottom w:val="single" w:sz="8" w:space="0" w:color="BFBFBF" w:themeColor="background1" w:themeShade="BF"/>
            </w:tcBorders>
            <w:vAlign w:val="center"/>
          </w:tcPr>
          <w:p w14:paraId="1CFD879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50-59</w:t>
            </w:r>
          </w:p>
        </w:tc>
        <w:tc>
          <w:tcPr>
            <w:tcW w:w="1961" w:type="dxa"/>
            <w:gridSpan w:val="3"/>
            <w:tcBorders>
              <w:bottom w:val="single" w:sz="8" w:space="0" w:color="BFBFBF" w:themeColor="background1" w:themeShade="BF"/>
            </w:tcBorders>
            <w:vAlign w:val="center"/>
          </w:tcPr>
          <w:p w14:paraId="45482E82"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48.90 %</w:t>
            </w:r>
          </w:p>
        </w:tc>
        <w:tc>
          <w:tcPr>
            <w:tcW w:w="1247" w:type="dxa"/>
            <w:gridSpan w:val="2"/>
            <w:tcBorders>
              <w:bottom w:val="single" w:sz="8" w:space="0" w:color="BFBFBF" w:themeColor="background1" w:themeShade="BF"/>
            </w:tcBorders>
            <w:vAlign w:val="center"/>
          </w:tcPr>
          <w:p w14:paraId="7D2D0BF6" w14:textId="77777777" w:rsidR="00747071" w:rsidRPr="00747071" w:rsidRDefault="00747071" w:rsidP="00D015C9">
            <w:pPr>
              <w:rPr>
                <w:rFonts w:ascii="Times New Roman" w:hAnsi="Times New Roman" w:cs="Times New Roman"/>
                <w:sz w:val="24"/>
                <w:szCs w:val="24"/>
              </w:rPr>
            </w:pPr>
          </w:p>
        </w:tc>
        <w:tc>
          <w:tcPr>
            <w:tcW w:w="1777" w:type="dxa"/>
            <w:gridSpan w:val="5"/>
            <w:tcBorders>
              <w:bottom w:val="single" w:sz="8" w:space="0" w:color="BFBFBF" w:themeColor="background1" w:themeShade="BF"/>
            </w:tcBorders>
            <w:vAlign w:val="center"/>
          </w:tcPr>
          <w:p w14:paraId="4430DB4C" w14:textId="77777777" w:rsidR="00747071" w:rsidRPr="00747071" w:rsidRDefault="00747071" w:rsidP="00D015C9">
            <w:pPr>
              <w:rPr>
                <w:rFonts w:ascii="Times New Roman" w:hAnsi="Times New Roman" w:cs="Times New Roman"/>
                <w:sz w:val="24"/>
                <w:szCs w:val="24"/>
              </w:rPr>
            </w:pPr>
          </w:p>
        </w:tc>
        <w:tc>
          <w:tcPr>
            <w:tcW w:w="1108" w:type="dxa"/>
            <w:vMerge/>
            <w:tcBorders>
              <w:bottom w:val="single" w:sz="8" w:space="0" w:color="BFBFBF" w:themeColor="background1" w:themeShade="BF"/>
            </w:tcBorders>
            <w:vAlign w:val="center"/>
          </w:tcPr>
          <w:p w14:paraId="2159C110" w14:textId="77777777" w:rsidR="00747071" w:rsidRPr="00747071" w:rsidRDefault="00747071" w:rsidP="00D015C9">
            <w:pPr>
              <w:rPr>
                <w:rFonts w:ascii="Times New Roman" w:hAnsi="Times New Roman" w:cs="Times New Roman"/>
                <w:sz w:val="24"/>
                <w:szCs w:val="24"/>
              </w:rPr>
            </w:pPr>
          </w:p>
        </w:tc>
      </w:tr>
      <w:tr w:rsidR="00747071" w:rsidRPr="00747071" w14:paraId="5F96C387" w14:textId="77777777" w:rsidTr="00D015C9">
        <w:trPr>
          <w:trHeight w:val="277"/>
        </w:trPr>
        <w:tc>
          <w:tcPr>
            <w:tcW w:w="2015" w:type="dxa"/>
            <w:vMerge w:val="restart"/>
            <w:tcBorders>
              <w:top w:val="single" w:sz="8" w:space="0" w:color="BFBFBF" w:themeColor="background1" w:themeShade="BF"/>
            </w:tcBorders>
            <w:vAlign w:val="center"/>
          </w:tcPr>
          <w:p w14:paraId="20451ACA"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PFS modeling (survival curve parameters assuming constant hazard over time)</w:t>
            </w:r>
          </w:p>
        </w:tc>
        <w:tc>
          <w:tcPr>
            <w:tcW w:w="2332" w:type="dxa"/>
            <w:gridSpan w:val="5"/>
            <w:tcBorders>
              <w:top w:val="single" w:sz="8" w:space="0" w:color="BFBFBF" w:themeColor="background1" w:themeShade="BF"/>
            </w:tcBorders>
            <w:vAlign w:val="center"/>
          </w:tcPr>
          <w:p w14:paraId="1621730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G-chemo Lambda (</w:t>
            </w:r>
            <w:r w:rsidRPr="00747071">
              <w:rPr>
                <w:rFonts w:ascii="Times New Roman" w:hAnsi="Times New Roman" w:cs="Times New Roman"/>
                <w:sz w:val="24"/>
                <w:szCs w:val="24"/>
              </w:rPr>
              <w:sym w:font="Symbol" w:char="F06C"/>
            </w:r>
            <w:r w:rsidRPr="00747071">
              <w:rPr>
                <w:rFonts w:ascii="Times New Roman" w:hAnsi="Times New Roman" w:cs="Times New Roman"/>
                <w:sz w:val="24"/>
                <w:szCs w:val="24"/>
              </w:rPr>
              <w:t>)</w:t>
            </w:r>
          </w:p>
        </w:tc>
        <w:tc>
          <w:tcPr>
            <w:tcW w:w="2802" w:type="dxa"/>
            <w:gridSpan w:val="5"/>
            <w:tcBorders>
              <w:top w:val="single" w:sz="8" w:space="0" w:color="BFBFBF" w:themeColor="background1" w:themeShade="BF"/>
            </w:tcBorders>
            <w:vAlign w:val="center"/>
          </w:tcPr>
          <w:p w14:paraId="1C469D80"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0.0053</w:t>
            </w:r>
          </w:p>
        </w:tc>
        <w:tc>
          <w:tcPr>
            <w:tcW w:w="1149" w:type="dxa"/>
            <w:gridSpan w:val="3"/>
            <w:tcBorders>
              <w:top w:val="single" w:sz="8" w:space="0" w:color="BFBFBF" w:themeColor="background1" w:themeShade="BF"/>
            </w:tcBorders>
            <w:vAlign w:val="center"/>
          </w:tcPr>
          <w:p w14:paraId="5C14F5B0" w14:textId="77777777" w:rsidR="00747071" w:rsidRPr="00747071" w:rsidRDefault="00747071" w:rsidP="00D015C9">
            <w:pPr>
              <w:rPr>
                <w:rFonts w:ascii="Times New Roman" w:hAnsi="Times New Roman" w:cs="Times New Roman"/>
                <w:sz w:val="24"/>
                <w:szCs w:val="24"/>
              </w:rPr>
            </w:pPr>
          </w:p>
        </w:tc>
        <w:tc>
          <w:tcPr>
            <w:tcW w:w="1108" w:type="dxa"/>
            <w:vMerge w:val="restart"/>
            <w:tcBorders>
              <w:top w:val="single" w:sz="8" w:space="0" w:color="BFBFBF" w:themeColor="background1" w:themeShade="BF"/>
              <w:bottom w:val="single" w:sz="8" w:space="0" w:color="BFBFBF" w:themeColor="background1" w:themeShade="BF"/>
            </w:tcBorders>
            <w:vAlign w:val="center"/>
          </w:tcPr>
          <w:p w14:paraId="2B225800" w14:textId="7B34068B"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ryOKZiDl","properties":{"formattedCitation":"[8]","plainCitation":"[8]","noteIndex":0},"citationItems":[{"id":10,"uris":["http://zotero.org/users/4824451/items/4Q4ER6EB"],"uri":["http://zotero.org/users/4824451/items/4Q4ER6EB"],"itemData":{"id":10,"type":"article-journal","abstract":"The GALLIUM trial compared obinutuzumab (GA101, G)-based chemotherapy followed by G monotherapy (G + chemo) for up to two years to rituximab (R)-based chemotherapy followed by R monotherapy (R + chemo) for up to two years in previously untreated follicular lymphoma (FL) patients. We estimated the cost-effectiveness of G + chemo versus R + chemo utilizing GALLIUM trial data and published literature. G + chemo had increased drug costs (undiscounted: $135,200 versus $127,700 for R + chemo), representing a relative increase of 5.9%. However, this was offset by a $6,400 lower cost for disease progression. G + chemo led to increased quality-adjusted life years (QALYs) relative to R + chemo of 0.81 (95% credible range, [CR]: 0.22-1.37), and the overall discounted incremental cost was $1,900 (95% CR: -$7,400 to $8,900). The incremental cost-effectiveness ratio was </w:instrText>
            </w:r>
            <w:r w:rsidR="00D92A4C">
              <w:rPr>
                <w:rFonts w:ascii="Cambria Math" w:hAnsi="Cambria Math" w:cs="Cambria Math"/>
                <w:sz w:val="24"/>
                <w:szCs w:val="24"/>
              </w:rPr>
              <w:instrText>∼</w:instrText>
            </w:r>
            <w:r w:rsidR="00D92A4C">
              <w:rPr>
                <w:rFonts w:ascii="Times New Roman" w:hAnsi="Times New Roman" w:cs="Times New Roman"/>
                <w:sz w:val="24"/>
                <w:szCs w:val="24"/>
              </w:rPr>
              <w:instrText xml:space="preserve">$2,300 per QALY gained, and the results were highly robust to sensitivity analyses. Treatment with G + chemo compared to R + chemo is cost-effective in previously untreated FL patients in the US.","container-title":"Leukemia &amp; Lymphoma","DOI":"10.1080/10428194.2018.1551532","ISSN":"1029-2403","journalAbbreviation":"Leuk. Lymphoma","language":"eng","note":"PMID: 30632837","page":"1-9","source":"PubMed","title":"Obinutuzumab plus chemotherapy followed by obinutuzumab monotherapy is cost-effective vs. rituximab plus chemotherapy followed by rituximab monotherapy for previously untreated follicular lymphoma patients in the United States","author":[{"family":"Guzauskas","given":"Gregory F."},{"family":"Masaquel","given":"Anthony"},{"family":"Thuresson","given":"Per-Olof"},{"family":"Dawson","given":"Keith"},{"family":"Veenstra","given":"David L."}],"issued":{"date-parts":[["2019",1,11]]}}}],"schema":"https://github.com/citation-style-language/schema/raw/master/csl-citation.json"}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[8]</w:t>
            </w:r>
            <w:r w:rsidRPr="00747071">
              <w:rPr>
                <w:rFonts w:ascii="Times New Roman" w:hAnsi="Times New Roman" w:cs="Times New Roman"/>
                <w:sz w:val="24"/>
                <w:szCs w:val="24"/>
              </w:rPr>
              <w:fldChar w:fldCharType="end"/>
            </w:r>
          </w:p>
        </w:tc>
      </w:tr>
      <w:tr w:rsidR="00747071" w:rsidRPr="00747071" w14:paraId="1043D8BE" w14:textId="77777777" w:rsidTr="00D015C9">
        <w:trPr>
          <w:trHeight w:val="276"/>
        </w:trPr>
        <w:tc>
          <w:tcPr>
            <w:tcW w:w="2015" w:type="dxa"/>
            <w:vMerge/>
            <w:tcBorders>
              <w:bottom w:val="single" w:sz="8" w:space="0" w:color="BFBFBF" w:themeColor="background1" w:themeShade="BF"/>
            </w:tcBorders>
            <w:vAlign w:val="center"/>
          </w:tcPr>
          <w:p w14:paraId="35D7EF7B" w14:textId="77777777" w:rsidR="00747071" w:rsidRPr="00747071" w:rsidRDefault="00747071" w:rsidP="00D015C9">
            <w:pPr>
              <w:rPr>
                <w:rFonts w:ascii="Times New Roman" w:hAnsi="Times New Roman" w:cs="Times New Roman"/>
                <w:sz w:val="24"/>
                <w:szCs w:val="24"/>
              </w:rPr>
            </w:pPr>
          </w:p>
        </w:tc>
        <w:tc>
          <w:tcPr>
            <w:tcW w:w="2332" w:type="dxa"/>
            <w:gridSpan w:val="5"/>
            <w:tcBorders>
              <w:bottom w:val="single" w:sz="8" w:space="0" w:color="BFBFBF" w:themeColor="background1" w:themeShade="BF"/>
            </w:tcBorders>
            <w:vAlign w:val="center"/>
          </w:tcPr>
          <w:p w14:paraId="380B0891"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R-chemo Lambda (</w:t>
            </w:r>
            <w:r w:rsidRPr="00747071">
              <w:rPr>
                <w:rFonts w:ascii="Times New Roman" w:hAnsi="Times New Roman" w:cs="Times New Roman"/>
                <w:sz w:val="24"/>
                <w:szCs w:val="24"/>
              </w:rPr>
              <w:sym w:font="Symbol" w:char="F06C"/>
            </w:r>
            <w:r w:rsidRPr="00747071">
              <w:rPr>
                <w:rFonts w:ascii="Times New Roman" w:hAnsi="Times New Roman" w:cs="Times New Roman"/>
                <w:sz w:val="24"/>
                <w:szCs w:val="24"/>
              </w:rPr>
              <w:t>)</w:t>
            </w:r>
          </w:p>
        </w:tc>
        <w:tc>
          <w:tcPr>
            <w:tcW w:w="2802" w:type="dxa"/>
            <w:gridSpan w:val="5"/>
            <w:tcBorders>
              <w:bottom w:val="single" w:sz="8" w:space="0" w:color="BFBFBF" w:themeColor="background1" w:themeShade="BF"/>
            </w:tcBorders>
            <w:vAlign w:val="center"/>
          </w:tcPr>
          <w:p w14:paraId="1A54761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0.0074</w:t>
            </w:r>
          </w:p>
        </w:tc>
        <w:tc>
          <w:tcPr>
            <w:tcW w:w="1149" w:type="dxa"/>
            <w:gridSpan w:val="3"/>
            <w:tcBorders>
              <w:bottom w:val="single" w:sz="8" w:space="0" w:color="BFBFBF" w:themeColor="background1" w:themeShade="BF"/>
            </w:tcBorders>
            <w:vAlign w:val="center"/>
          </w:tcPr>
          <w:p w14:paraId="354270BF" w14:textId="77777777" w:rsidR="00747071" w:rsidRPr="00747071" w:rsidRDefault="00747071" w:rsidP="00D015C9">
            <w:pPr>
              <w:rPr>
                <w:rFonts w:ascii="Times New Roman" w:hAnsi="Times New Roman" w:cs="Times New Roman"/>
                <w:sz w:val="24"/>
                <w:szCs w:val="24"/>
              </w:rPr>
            </w:pPr>
          </w:p>
        </w:tc>
        <w:tc>
          <w:tcPr>
            <w:tcW w:w="1108" w:type="dxa"/>
            <w:vMerge/>
            <w:tcBorders>
              <w:bottom w:val="single" w:sz="8" w:space="0" w:color="BFBFBF" w:themeColor="background1" w:themeShade="BF"/>
            </w:tcBorders>
            <w:vAlign w:val="center"/>
          </w:tcPr>
          <w:p w14:paraId="50EC31EB" w14:textId="77777777" w:rsidR="00747071" w:rsidRPr="00747071" w:rsidRDefault="00747071" w:rsidP="00D015C9">
            <w:pPr>
              <w:rPr>
                <w:rFonts w:ascii="Times New Roman" w:hAnsi="Times New Roman" w:cs="Times New Roman"/>
                <w:sz w:val="24"/>
                <w:szCs w:val="24"/>
              </w:rPr>
            </w:pPr>
          </w:p>
        </w:tc>
      </w:tr>
      <w:tr w:rsidR="00747071" w:rsidRPr="00747071" w14:paraId="5728963B" w14:textId="77777777" w:rsidTr="00D015C9">
        <w:trPr>
          <w:trHeight w:val="29"/>
        </w:trPr>
        <w:tc>
          <w:tcPr>
            <w:tcW w:w="2015" w:type="dxa"/>
            <w:vMerge w:val="restart"/>
            <w:tcBorders>
              <w:top w:val="single" w:sz="8" w:space="0" w:color="BFBFBF" w:themeColor="background1" w:themeShade="BF"/>
              <w:bottom w:val="single" w:sz="4" w:space="0" w:color="auto"/>
            </w:tcBorders>
            <w:vAlign w:val="center"/>
          </w:tcPr>
          <w:p w14:paraId="15DEB8B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Employment rates</w:t>
            </w:r>
          </w:p>
        </w:tc>
        <w:tc>
          <w:tcPr>
            <w:tcW w:w="1298" w:type="dxa"/>
            <w:gridSpan w:val="3"/>
            <w:tcBorders>
              <w:bottom w:val="single" w:sz="8" w:space="0" w:color="BFBFBF" w:themeColor="background1" w:themeShade="BF"/>
            </w:tcBorders>
            <w:vAlign w:val="center"/>
          </w:tcPr>
          <w:p w14:paraId="1C61B142"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Age group</w:t>
            </w:r>
          </w:p>
        </w:tc>
        <w:tc>
          <w:tcPr>
            <w:tcW w:w="1034" w:type="dxa"/>
            <w:gridSpan w:val="2"/>
            <w:tcBorders>
              <w:bottom w:val="single" w:sz="8" w:space="0" w:color="BFBFBF" w:themeColor="background1" w:themeShade="BF"/>
            </w:tcBorders>
            <w:vAlign w:val="center"/>
          </w:tcPr>
          <w:p w14:paraId="6AD9E3DA"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[male]</w:t>
            </w:r>
          </w:p>
        </w:tc>
        <w:tc>
          <w:tcPr>
            <w:tcW w:w="927" w:type="dxa"/>
            <w:tcBorders>
              <w:bottom w:val="single" w:sz="8" w:space="0" w:color="BFBFBF" w:themeColor="background1" w:themeShade="BF"/>
            </w:tcBorders>
            <w:vAlign w:val="center"/>
          </w:tcPr>
          <w:p w14:paraId="440708D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[female]</w:t>
            </w:r>
          </w:p>
        </w:tc>
        <w:tc>
          <w:tcPr>
            <w:tcW w:w="3024" w:type="dxa"/>
            <w:gridSpan w:val="7"/>
            <w:vAlign w:val="center"/>
          </w:tcPr>
          <w:p w14:paraId="5CEB40FA" w14:textId="77777777" w:rsidR="00747071" w:rsidRPr="00747071" w:rsidRDefault="00747071" w:rsidP="00D015C9">
            <w:pPr>
              <w:rPr>
                <w:rFonts w:ascii="Times New Roman" w:hAnsi="Times New Roman" w:cs="Times New Roman"/>
                <w:sz w:val="24"/>
                <w:szCs w:val="24"/>
              </w:rPr>
            </w:pPr>
          </w:p>
        </w:tc>
        <w:tc>
          <w:tcPr>
            <w:tcW w:w="1108" w:type="dxa"/>
            <w:vMerge w:val="restart"/>
            <w:tcBorders>
              <w:top w:val="single" w:sz="8" w:space="0" w:color="BFBFBF" w:themeColor="background1" w:themeShade="BF"/>
              <w:bottom w:val="single" w:sz="4" w:space="0" w:color="auto"/>
            </w:tcBorders>
            <w:vAlign w:val="center"/>
          </w:tcPr>
          <w:p w14:paraId="48288FFC" w14:textId="40FD37A5"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iBFWt1Hi","properties":{"formattedCitation":"[17,18]","plainCitation":"[17,18]","noteIndex":0},"citationItems":[{"id":21,"uris":["http://zotero.org/users/4824451/items/KMMI4Q26"],"uri":["http://zotero.org/users/4824451/items/KMMI4Q26"],"itemData":{"id":21,"type":"article","publisher":"Statistisches Bundesamt, Wiesbaden","title":"Statistisches Jahrbuch 2016 - Kapitel 13 - Arbeitsmarkt","author":[{"family":"Destatis","given":""}],"issued":{"date-parts":[["2016"]]}}},{"id":20,"uris":["http://zotero.org/users/4824451/items/QE68WNB7"],"uri":["http://zotero.org/users/4824451/items/QE68WNB7"],"itemData":{"id":20,"type":"article","publisher":"Statistisches Bundesamt, Wiesbaden","title":"Die Generation 65+ in Deutschland","author":[{"family":"Destatis","given":""}],"issued":{"date-parts":[["2015"]]}}}],"schema":"https://github.com/citation-style-language/schema/raw/master/csl-citation.json"}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[17,18]</w:t>
            </w:r>
            <w:r w:rsidRPr="00747071">
              <w:rPr>
                <w:rFonts w:ascii="Times New Roman" w:hAnsi="Times New Roman" w:cs="Times New Roman"/>
                <w:sz w:val="24"/>
                <w:szCs w:val="24"/>
              </w:rPr>
              <w:fldChar w:fldCharType="end"/>
            </w:r>
          </w:p>
        </w:tc>
      </w:tr>
      <w:tr w:rsidR="00747071" w:rsidRPr="00747071" w14:paraId="76B1E2EE" w14:textId="77777777" w:rsidTr="00D015C9">
        <w:trPr>
          <w:trHeight w:val="25"/>
        </w:trPr>
        <w:tc>
          <w:tcPr>
            <w:tcW w:w="2015" w:type="dxa"/>
            <w:vMerge/>
            <w:tcBorders>
              <w:bottom w:val="single" w:sz="4" w:space="0" w:color="auto"/>
            </w:tcBorders>
            <w:vAlign w:val="center"/>
          </w:tcPr>
          <w:p w14:paraId="4B182D8D" w14:textId="77777777" w:rsidR="00747071" w:rsidRPr="00747071" w:rsidRDefault="00747071" w:rsidP="00D015C9">
            <w:pPr>
              <w:rPr>
                <w:rFonts w:ascii="Times New Roman" w:hAnsi="Times New Roman" w:cs="Times New Roman"/>
                <w:sz w:val="24"/>
                <w:szCs w:val="24"/>
              </w:rPr>
            </w:pPr>
          </w:p>
        </w:tc>
        <w:tc>
          <w:tcPr>
            <w:tcW w:w="1298" w:type="dxa"/>
            <w:gridSpan w:val="3"/>
            <w:tcBorders>
              <w:top w:val="single" w:sz="8" w:space="0" w:color="BFBFBF" w:themeColor="background1" w:themeShade="BF"/>
            </w:tcBorders>
            <w:vAlign w:val="center"/>
          </w:tcPr>
          <w:p w14:paraId="7998451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20-29</w:t>
            </w:r>
          </w:p>
        </w:tc>
        <w:tc>
          <w:tcPr>
            <w:tcW w:w="1034" w:type="dxa"/>
            <w:gridSpan w:val="2"/>
            <w:tcBorders>
              <w:top w:val="single" w:sz="8" w:space="0" w:color="BFBFBF" w:themeColor="background1" w:themeShade="BF"/>
            </w:tcBorders>
            <w:vAlign w:val="center"/>
          </w:tcPr>
          <w:p w14:paraId="619ED55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73.06 %</w:t>
            </w:r>
          </w:p>
        </w:tc>
        <w:tc>
          <w:tcPr>
            <w:tcW w:w="927" w:type="dxa"/>
            <w:tcBorders>
              <w:top w:val="single" w:sz="8" w:space="0" w:color="BFBFBF" w:themeColor="background1" w:themeShade="BF"/>
            </w:tcBorders>
            <w:vAlign w:val="center"/>
          </w:tcPr>
          <w:p w14:paraId="256BA37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69.49 %</w:t>
            </w:r>
          </w:p>
        </w:tc>
        <w:tc>
          <w:tcPr>
            <w:tcW w:w="3024" w:type="dxa"/>
            <w:gridSpan w:val="7"/>
            <w:vAlign w:val="center"/>
          </w:tcPr>
          <w:p w14:paraId="2D6A771A"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6867F1BE" w14:textId="77777777" w:rsidR="00747071" w:rsidRPr="00747071" w:rsidRDefault="00747071" w:rsidP="00D015C9">
            <w:pPr>
              <w:rPr>
                <w:rFonts w:ascii="Times New Roman" w:hAnsi="Times New Roman" w:cs="Times New Roman"/>
                <w:sz w:val="24"/>
                <w:szCs w:val="24"/>
              </w:rPr>
            </w:pPr>
          </w:p>
        </w:tc>
      </w:tr>
      <w:tr w:rsidR="00747071" w:rsidRPr="00747071" w14:paraId="1C05B24A" w14:textId="77777777" w:rsidTr="00D015C9">
        <w:trPr>
          <w:trHeight w:val="25"/>
        </w:trPr>
        <w:tc>
          <w:tcPr>
            <w:tcW w:w="2015" w:type="dxa"/>
            <w:vMerge/>
            <w:tcBorders>
              <w:bottom w:val="single" w:sz="4" w:space="0" w:color="auto"/>
            </w:tcBorders>
            <w:vAlign w:val="center"/>
          </w:tcPr>
          <w:p w14:paraId="215BCDA8"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59ED6FFC"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30-39</w:t>
            </w:r>
          </w:p>
        </w:tc>
        <w:tc>
          <w:tcPr>
            <w:tcW w:w="1034" w:type="dxa"/>
            <w:gridSpan w:val="2"/>
            <w:vAlign w:val="center"/>
          </w:tcPr>
          <w:p w14:paraId="04EDFB1B"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89.07 %</w:t>
            </w:r>
          </w:p>
        </w:tc>
        <w:tc>
          <w:tcPr>
            <w:tcW w:w="927" w:type="dxa"/>
            <w:vAlign w:val="center"/>
          </w:tcPr>
          <w:p w14:paraId="38C6E52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77.25 %</w:t>
            </w:r>
          </w:p>
        </w:tc>
        <w:tc>
          <w:tcPr>
            <w:tcW w:w="3024" w:type="dxa"/>
            <w:gridSpan w:val="7"/>
            <w:vAlign w:val="center"/>
          </w:tcPr>
          <w:p w14:paraId="415187F8"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6FDA1287" w14:textId="77777777" w:rsidR="00747071" w:rsidRPr="00747071" w:rsidRDefault="00747071" w:rsidP="00D015C9">
            <w:pPr>
              <w:rPr>
                <w:rFonts w:ascii="Times New Roman" w:hAnsi="Times New Roman" w:cs="Times New Roman"/>
                <w:sz w:val="24"/>
                <w:szCs w:val="24"/>
              </w:rPr>
            </w:pPr>
          </w:p>
        </w:tc>
      </w:tr>
      <w:tr w:rsidR="00747071" w:rsidRPr="00747071" w14:paraId="1D204254" w14:textId="77777777" w:rsidTr="00D015C9">
        <w:trPr>
          <w:trHeight w:val="25"/>
        </w:trPr>
        <w:tc>
          <w:tcPr>
            <w:tcW w:w="2015" w:type="dxa"/>
            <w:vMerge/>
            <w:tcBorders>
              <w:bottom w:val="single" w:sz="4" w:space="0" w:color="auto"/>
            </w:tcBorders>
            <w:vAlign w:val="center"/>
          </w:tcPr>
          <w:p w14:paraId="2195946E"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026C07B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40-49</w:t>
            </w:r>
          </w:p>
        </w:tc>
        <w:tc>
          <w:tcPr>
            <w:tcW w:w="1034" w:type="dxa"/>
            <w:gridSpan w:val="2"/>
            <w:vAlign w:val="center"/>
          </w:tcPr>
          <w:p w14:paraId="0571DE51"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90.34 %</w:t>
            </w:r>
          </w:p>
        </w:tc>
        <w:tc>
          <w:tcPr>
            <w:tcW w:w="927" w:type="dxa"/>
            <w:vAlign w:val="center"/>
          </w:tcPr>
          <w:p w14:paraId="7C6A782E"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81.75 %</w:t>
            </w:r>
          </w:p>
        </w:tc>
        <w:tc>
          <w:tcPr>
            <w:tcW w:w="3024" w:type="dxa"/>
            <w:gridSpan w:val="7"/>
            <w:vAlign w:val="center"/>
          </w:tcPr>
          <w:p w14:paraId="1B917ABC"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371E3692" w14:textId="77777777" w:rsidR="00747071" w:rsidRPr="00747071" w:rsidRDefault="00747071" w:rsidP="00D015C9">
            <w:pPr>
              <w:rPr>
                <w:rFonts w:ascii="Times New Roman" w:hAnsi="Times New Roman" w:cs="Times New Roman"/>
                <w:sz w:val="24"/>
                <w:szCs w:val="24"/>
              </w:rPr>
            </w:pPr>
          </w:p>
        </w:tc>
      </w:tr>
      <w:tr w:rsidR="00747071" w:rsidRPr="00747071" w14:paraId="71169502" w14:textId="77777777" w:rsidTr="00D015C9">
        <w:trPr>
          <w:trHeight w:val="25"/>
        </w:trPr>
        <w:tc>
          <w:tcPr>
            <w:tcW w:w="2015" w:type="dxa"/>
            <w:vMerge/>
            <w:tcBorders>
              <w:bottom w:val="single" w:sz="4" w:space="0" w:color="auto"/>
            </w:tcBorders>
            <w:vAlign w:val="center"/>
          </w:tcPr>
          <w:p w14:paraId="799D4856"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21ECF172"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50-59</w:t>
            </w:r>
          </w:p>
        </w:tc>
        <w:tc>
          <w:tcPr>
            <w:tcW w:w="1034" w:type="dxa"/>
            <w:gridSpan w:val="2"/>
            <w:vAlign w:val="center"/>
          </w:tcPr>
          <w:p w14:paraId="19F772F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84.75 %</w:t>
            </w:r>
          </w:p>
        </w:tc>
        <w:tc>
          <w:tcPr>
            <w:tcW w:w="927" w:type="dxa"/>
            <w:vAlign w:val="center"/>
          </w:tcPr>
          <w:p w14:paraId="45022B52"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76.80 %</w:t>
            </w:r>
          </w:p>
        </w:tc>
        <w:tc>
          <w:tcPr>
            <w:tcW w:w="3024" w:type="dxa"/>
            <w:gridSpan w:val="7"/>
            <w:vAlign w:val="center"/>
          </w:tcPr>
          <w:p w14:paraId="7F44CE77"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0DB197BB" w14:textId="77777777" w:rsidR="00747071" w:rsidRPr="00747071" w:rsidRDefault="00747071" w:rsidP="00D015C9">
            <w:pPr>
              <w:rPr>
                <w:rFonts w:ascii="Times New Roman" w:hAnsi="Times New Roman" w:cs="Times New Roman"/>
                <w:sz w:val="24"/>
                <w:szCs w:val="24"/>
              </w:rPr>
            </w:pPr>
          </w:p>
        </w:tc>
      </w:tr>
      <w:tr w:rsidR="00747071" w:rsidRPr="00747071" w14:paraId="0760AE4C" w14:textId="77777777" w:rsidTr="00D015C9">
        <w:trPr>
          <w:trHeight w:val="25"/>
        </w:trPr>
        <w:tc>
          <w:tcPr>
            <w:tcW w:w="2015" w:type="dxa"/>
            <w:vMerge/>
            <w:tcBorders>
              <w:bottom w:val="single" w:sz="4" w:space="0" w:color="auto"/>
            </w:tcBorders>
            <w:vAlign w:val="center"/>
          </w:tcPr>
          <w:p w14:paraId="0A5F50C9"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05AAE79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60-69</w:t>
            </w:r>
          </w:p>
        </w:tc>
        <w:tc>
          <w:tcPr>
            <w:tcW w:w="1034" w:type="dxa"/>
            <w:gridSpan w:val="2"/>
            <w:vAlign w:val="center"/>
          </w:tcPr>
          <w:p w14:paraId="08836B05"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39.94 %</w:t>
            </w:r>
          </w:p>
        </w:tc>
        <w:tc>
          <w:tcPr>
            <w:tcW w:w="927" w:type="dxa"/>
            <w:vAlign w:val="center"/>
          </w:tcPr>
          <w:p w14:paraId="34AD462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30.52 %</w:t>
            </w:r>
          </w:p>
        </w:tc>
        <w:tc>
          <w:tcPr>
            <w:tcW w:w="3024" w:type="dxa"/>
            <w:gridSpan w:val="7"/>
            <w:vAlign w:val="center"/>
          </w:tcPr>
          <w:p w14:paraId="76692DDE"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3C118679" w14:textId="77777777" w:rsidR="00747071" w:rsidRPr="00747071" w:rsidRDefault="00747071" w:rsidP="00D015C9">
            <w:pPr>
              <w:rPr>
                <w:rFonts w:ascii="Times New Roman" w:hAnsi="Times New Roman" w:cs="Times New Roman"/>
                <w:sz w:val="24"/>
                <w:szCs w:val="24"/>
              </w:rPr>
            </w:pPr>
          </w:p>
        </w:tc>
      </w:tr>
      <w:tr w:rsidR="00747071" w:rsidRPr="00747071" w14:paraId="316192F6" w14:textId="77777777" w:rsidTr="00D015C9">
        <w:trPr>
          <w:trHeight w:val="25"/>
        </w:trPr>
        <w:tc>
          <w:tcPr>
            <w:tcW w:w="2015" w:type="dxa"/>
            <w:vMerge/>
            <w:tcBorders>
              <w:bottom w:val="single" w:sz="4" w:space="0" w:color="auto"/>
            </w:tcBorders>
            <w:vAlign w:val="center"/>
          </w:tcPr>
          <w:p w14:paraId="230B4106" w14:textId="77777777" w:rsidR="00747071" w:rsidRPr="00747071" w:rsidRDefault="00747071" w:rsidP="00D015C9">
            <w:pPr>
              <w:rPr>
                <w:rFonts w:ascii="Times New Roman" w:hAnsi="Times New Roman" w:cs="Times New Roman"/>
                <w:sz w:val="24"/>
                <w:szCs w:val="24"/>
              </w:rPr>
            </w:pPr>
          </w:p>
        </w:tc>
        <w:tc>
          <w:tcPr>
            <w:tcW w:w="1298" w:type="dxa"/>
            <w:gridSpan w:val="3"/>
            <w:vAlign w:val="center"/>
          </w:tcPr>
          <w:p w14:paraId="01CA4B7D"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70-79</w:t>
            </w:r>
          </w:p>
        </w:tc>
        <w:tc>
          <w:tcPr>
            <w:tcW w:w="1034" w:type="dxa"/>
            <w:gridSpan w:val="2"/>
            <w:vAlign w:val="center"/>
          </w:tcPr>
          <w:p w14:paraId="48BEB8C0"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7.86 %</w:t>
            </w:r>
          </w:p>
        </w:tc>
        <w:tc>
          <w:tcPr>
            <w:tcW w:w="927" w:type="dxa"/>
            <w:vAlign w:val="center"/>
          </w:tcPr>
          <w:p w14:paraId="57C27C6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3.66 %</w:t>
            </w:r>
          </w:p>
        </w:tc>
        <w:tc>
          <w:tcPr>
            <w:tcW w:w="3024" w:type="dxa"/>
            <w:gridSpan w:val="7"/>
            <w:vAlign w:val="center"/>
          </w:tcPr>
          <w:p w14:paraId="5B2ABC41"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1184DEBC" w14:textId="77777777" w:rsidR="00747071" w:rsidRPr="00747071" w:rsidRDefault="00747071" w:rsidP="00D015C9">
            <w:pPr>
              <w:rPr>
                <w:rFonts w:ascii="Times New Roman" w:hAnsi="Times New Roman" w:cs="Times New Roman"/>
                <w:sz w:val="24"/>
                <w:szCs w:val="24"/>
              </w:rPr>
            </w:pPr>
          </w:p>
        </w:tc>
      </w:tr>
      <w:tr w:rsidR="00747071" w:rsidRPr="00747071" w14:paraId="32FF231E" w14:textId="77777777" w:rsidTr="00D015C9">
        <w:trPr>
          <w:trHeight w:val="25"/>
        </w:trPr>
        <w:tc>
          <w:tcPr>
            <w:tcW w:w="2015" w:type="dxa"/>
            <w:vMerge/>
            <w:tcBorders>
              <w:bottom w:val="single" w:sz="4" w:space="0" w:color="auto"/>
            </w:tcBorders>
            <w:vAlign w:val="center"/>
          </w:tcPr>
          <w:p w14:paraId="074FB7D8" w14:textId="77777777" w:rsidR="00747071" w:rsidRPr="00747071" w:rsidRDefault="00747071" w:rsidP="00D015C9">
            <w:pPr>
              <w:rPr>
                <w:rFonts w:ascii="Times New Roman" w:hAnsi="Times New Roman" w:cs="Times New Roman"/>
                <w:sz w:val="24"/>
                <w:szCs w:val="24"/>
              </w:rPr>
            </w:pPr>
          </w:p>
        </w:tc>
        <w:tc>
          <w:tcPr>
            <w:tcW w:w="1298" w:type="dxa"/>
            <w:gridSpan w:val="3"/>
            <w:tcBorders>
              <w:bottom w:val="single" w:sz="4" w:space="0" w:color="auto"/>
            </w:tcBorders>
            <w:vAlign w:val="center"/>
          </w:tcPr>
          <w:p w14:paraId="184C901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80+</w:t>
            </w:r>
          </w:p>
        </w:tc>
        <w:tc>
          <w:tcPr>
            <w:tcW w:w="1034" w:type="dxa"/>
            <w:gridSpan w:val="2"/>
            <w:tcBorders>
              <w:bottom w:val="single" w:sz="4" w:space="0" w:color="auto"/>
            </w:tcBorders>
            <w:vAlign w:val="center"/>
          </w:tcPr>
          <w:p w14:paraId="4C40AC2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0 %</w:t>
            </w:r>
          </w:p>
        </w:tc>
        <w:tc>
          <w:tcPr>
            <w:tcW w:w="927" w:type="dxa"/>
            <w:tcBorders>
              <w:bottom w:val="single" w:sz="4" w:space="0" w:color="auto"/>
            </w:tcBorders>
            <w:vAlign w:val="center"/>
          </w:tcPr>
          <w:p w14:paraId="6819404A"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0 %</w:t>
            </w:r>
          </w:p>
        </w:tc>
        <w:tc>
          <w:tcPr>
            <w:tcW w:w="3024" w:type="dxa"/>
            <w:gridSpan w:val="7"/>
            <w:tcBorders>
              <w:bottom w:val="single" w:sz="4" w:space="0" w:color="auto"/>
            </w:tcBorders>
            <w:vAlign w:val="center"/>
          </w:tcPr>
          <w:p w14:paraId="2BC434D8" w14:textId="77777777" w:rsidR="00747071" w:rsidRPr="00747071" w:rsidRDefault="00747071" w:rsidP="00D015C9">
            <w:pPr>
              <w:rPr>
                <w:rFonts w:ascii="Times New Roman" w:hAnsi="Times New Roman" w:cs="Times New Roman"/>
                <w:sz w:val="24"/>
                <w:szCs w:val="24"/>
              </w:rPr>
            </w:pPr>
          </w:p>
        </w:tc>
        <w:tc>
          <w:tcPr>
            <w:tcW w:w="1108" w:type="dxa"/>
            <w:vMerge/>
            <w:tcBorders>
              <w:top w:val="single" w:sz="8" w:space="0" w:color="BFBFBF" w:themeColor="background1" w:themeShade="BF"/>
              <w:bottom w:val="single" w:sz="4" w:space="0" w:color="auto"/>
            </w:tcBorders>
            <w:vAlign w:val="center"/>
          </w:tcPr>
          <w:p w14:paraId="212C13C5" w14:textId="77777777" w:rsidR="00747071" w:rsidRPr="00747071" w:rsidRDefault="00747071" w:rsidP="00D015C9">
            <w:pPr>
              <w:rPr>
                <w:rFonts w:ascii="Times New Roman" w:hAnsi="Times New Roman" w:cs="Times New Roman"/>
                <w:sz w:val="24"/>
                <w:szCs w:val="24"/>
              </w:rPr>
            </w:pPr>
          </w:p>
        </w:tc>
      </w:tr>
      <w:tr w:rsidR="00747071" w:rsidRPr="00747071" w14:paraId="07246E4F" w14:textId="77777777" w:rsidTr="00D015C9">
        <w:tc>
          <w:tcPr>
            <w:tcW w:w="2351" w:type="dxa"/>
            <w:gridSpan w:val="2"/>
            <w:vMerge w:val="restart"/>
            <w:tcBorders>
              <w:top w:val="single" w:sz="4" w:space="0" w:color="auto"/>
            </w:tcBorders>
            <w:vAlign w:val="center"/>
          </w:tcPr>
          <w:p w14:paraId="00F2F25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Return to work rate</w:t>
            </w:r>
          </w:p>
        </w:tc>
        <w:tc>
          <w:tcPr>
            <w:tcW w:w="5941" w:type="dxa"/>
            <w:gridSpan w:val="11"/>
            <w:tcBorders>
              <w:top w:val="single" w:sz="4" w:space="0" w:color="auto"/>
            </w:tcBorders>
            <w:vAlign w:val="center"/>
          </w:tcPr>
          <w:p w14:paraId="0348CA0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24 % (after 6 months)</w:t>
            </w:r>
          </w:p>
        </w:tc>
        <w:tc>
          <w:tcPr>
            <w:tcW w:w="1114" w:type="dxa"/>
            <w:gridSpan w:val="2"/>
            <w:vMerge w:val="restart"/>
            <w:tcBorders>
              <w:top w:val="single" w:sz="4" w:space="0" w:color="auto"/>
              <w:bottom w:val="single" w:sz="8" w:space="0" w:color="BFBFBF" w:themeColor="background1" w:themeShade="BF"/>
            </w:tcBorders>
            <w:vAlign w:val="center"/>
          </w:tcPr>
          <w:p w14:paraId="1A7B4C22" w14:textId="2C6C490E"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VWMArBrg","properties":{"formattedCitation":"[19,20]","plainCitation":"[19,20]","noteIndex":0},"citationItems":[{"id":41,"uris":["http://zotero.org/users/4824451/items/TY2KRVUX"],"uri":["http://zotero.org/users/4824451/items/TY2KRVUX"],"itemData":{"id":41,"type":"article-journal","abstract":"Fatigue is a highly prevalent and debilitating symptom in cancer survivors. The aim of this study was to assess the impact of fatigue and other cancer-related symptoms on the return to work of cancer survivors. A prospective inception cohort study with 12 months of follow-up was initiated. At 6 months following the first day of sick leave, levels of fatigue, depression, sleep problems, physical complaints, cognitive dysfunction and psychological distress were assessed, in addition to clinical, sociodemographic and work-related factors. Data were obtained from one academic hospital and two general hospitals in the Netherlands. 235 patients who had a primary diagnosis of cancer and underwent treatment with curative intent were included. The rate of return to work was measured at 6, 12 and18 months. Hazard ratios (HRs) for the duration of sick leave up to 18 months following the first day of sick leave were calculated. The rate of return to work increased from 24% at 6 months to 64% at 18 months following the first day of sick leave. Fatigue, diagnosis, treatment type, age, gender, depression, physical complaints and workload were all related to the time taken to return to work. Fatigue scores were also strongly related to diagnosis, physical complaints, and depression scores. Fatigue at 6 months predicted a longer sick leave with a hazard ratio of 0.71 (95% Confidence Interval (C.I.) 0.59–0.85), adjusted for diagnosis, treatment type, age and gender. In a multivariate Cox regression analysis, diagnosis, treatment, age, physical complaints and workload remained the only significant predictors of duration of the sick leave. 64% of cancer survivors returned to work within 18 months. Fatigue levels predicted the return to work. This was independent of the diagnosis and treatment, but not of other cancer-related symptoms. Better management of cancer-related symptoms is therefore needed to facilitate the return to work of cancer patients.","container-title":"European Journal of Cancer","DOI":"10.1016/S0959-8049(03)00364-2","ISSN":"0959-8049","issue":"11","journalAbbreviation":"European Journal of Cancer","page":"1562-1567","source":"ScienceDirect","title":"Cancer, fatigue and the return of patients to work—a prospective cohort study","volume":"39","author":[{"family":"Spelten","given":"E. R."},{"family":"Verbeek","given":"J. H. A. M."},{"family":"Uitterhoeve","given":"A. L. J."},{"family":"Ansink","given":"A. C."},{"family":"Lelie","given":"J.","non-dropping-particle":"van der"},{"family":"Reijke","given":"T. M.","non-dropping-particle":"de"},{"family":"Kammeijer","given":"M."},{"family":"Haes","given":"J. C. J. M.","non-dropping-particle":"de"},{"family":"Sprangers","given":"M. A. G."}],"issued":{"date-parts":[["2003",7,1]]}}},{"id":12,"uris":["http://zotero.org/users/4824451/items/GAX7ZTMC"],"uri":["http://zotero.org/users/4824451/items/GAX7ZTMC"],"itemData":{"id":12,"type":"article-journal","abstract":"Purpose The aims of this study were to determine the proportion of return to work (RTW) among sick-listed patients diagnosed with one of eight subtypes of hematological malignancies; to evaluate the influence of type of hematological malignancy, comorbidity, use of anxiolytics and antidepressants, socioeconomic and demographic factors on RTW; and to investigate if these associations differ between genders.","container-title":"Journal of Cancer Survivorship","DOI":"10.1007/s11764-013-0300-z","ISSN":"1932-2259, 1932-2267","issue":"4","language":"en","page":"614-623","source":"Crossref","title":"Type of hematological malignancy is crucial for the return to work prognosis: a register-based cohort study","title-short":"Type of hematological malignancy is crucial for the return to work prognosis","volume":"7","author":[{"family":"Horsboel","given":"Trine Allerslev"},{"family":"Nielsen","given":"Claus Vinther"},{"family":"Nielsen","given":"Bendt"},{"family":"Jensen","given":"Chris"},{"family":"Andersen","given":"Niels Trolle"},{"family":"Thurah","given":"Annette","non-dropping-particle":"de"}],"issued":{"date-parts":[["2013",12]]}}}],"schema":"https://github.com/citation-style-language/schema/raw/master/csl-citation.json"}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[19,20]</w:t>
            </w:r>
            <w:r w:rsidRPr="00747071">
              <w:rPr>
                <w:rFonts w:ascii="Times New Roman" w:hAnsi="Times New Roman" w:cs="Times New Roman"/>
                <w:sz w:val="24"/>
                <w:szCs w:val="24"/>
              </w:rPr>
              <w:fldChar w:fldCharType="end"/>
            </w:r>
          </w:p>
        </w:tc>
      </w:tr>
      <w:tr w:rsidR="00747071" w:rsidRPr="00747071" w14:paraId="2827F5F2" w14:textId="77777777" w:rsidTr="00D015C9">
        <w:tc>
          <w:tcPr>
            <w:tcW w:w="2351" w:type="dxa"/>
            <w:gridSpan w:val="2"/>
            <w:vMerge/>
            <w:vAlign w:val="center"/>
          </w:tcPr>
          <w:p w14:paraId="1BA88F80" w14:textId="77777777" w:rsidR="00747071" w:rsidRPr="00747071" w:rsidRDefault="00747071" w:rsidP="00D015C9">
            <w:pPr>
              <w:rPr>
                <w:rFonts w:ascii="Times New Roman" w:hAnsi="Times New Roman" w:cs="Times New Roman"/>
                <w:sz w:val="24"/>
                <w:szCs w:val="24"/>
              </w:rPr>
            </w:pPr>
          </w:p>
        </w:tc>
        <w:tc>
          <w:tcPr>
            <w:tcW w:w="5941" w:type="dxa"/>
            <w:gridSpan w:val="11"/>
            <w:vAlign w:val="center"/>
          </w:tcPr>
          <w:p w14:paraId="2C95E593"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50 % (after 12 months)</w:t>
            </w:r>
          </w:p>
        </w:tc>
        <w:tc>
          <w:tcPr>
            <w:tcW w:w="1114" w:type="dxa"/>
            <w:gridSpan w:val="2"/>
            <w:vMerge/>
            <w:tcBorders>
              <w:bottom w:val="single" w:sz="8" w:space="0" w:color="BFBFBF" w:themeColor="background1" w:themeShade="BF"/>
            </w:tcBorders>
            <w:vAlign w:val="center"/>
          </w:tcPr>
          <w:p w14:paraId="0D94FFDA" w14:textId="77777777" w:rsidR="00747071" w:rsidRPr="00747071" w:rsidRDefault="00747071" w:rsidP="00D015C9">
            <w:pPr>
              <w:rPr>
                <w:rFonts w:ascii="Times New Roman" w:hAnsi="Times New Roman" w:cs="Times New Roman"/>
                <w:sz w:val="24"/>
                <w:szCs w:val="24"/>
              </w:rPr>
            </w:pPr>
          </w:p>
        </w:tc>
      </w:tr>
      <w:tr w:rsidR="00747071" w:rsidRPr="00747071" w14:paraId="1FD636E0" w14:textId="77777777" w:rsidTr="00D015C9">
        <w:tc>
          <w:tcPr>
            <w:tcW w:w="2351" w:type="dxa"/>
            <w:gridSpan w:val="2"/>
            <w:vMerge/>
            <w:tcBorders>
              <w:bottom w:val="single" w:sz="8" w:space="0" w:color="BFBFBF" w:themeColor="background1" w:themeShade="BF"/>
            </w:tcBorders>
            <w:vAlign w:val="center"/>
          </w:tcPr>
          <w:p w14:paraId="20131966" w14:textId="77777777" w:rsidR="00747071" w:rsidRPr="00747071" w:rsidRDefault="00747071" w:rsidP="00D015C9">
            <w:pPr>
              <w:rPr>
                <w:rFonts w:ascii="Times New Roman" w:hAnsi="Times New Roman" w:cs="Times New Roman"/>
                <w:sz w:val="24"/>
                <w:szCs w:val="24"/>
              </w:rPr>
            </w:pPr>
          </w:p>
        </w:tc>
        <w:tc>
          <w:tcPr>
            <w:tcW w:w="5941" w:type="dxa"/>
            <w:gridSpan w:val="11"/>
            <w:tcBorders>
              <w:bottom w:val="single" w:sz="8" w:space="0" w:color="BFBFBF" w:themeColor="background1" w:themeShade="BF"/>
            </w:tcBorders>
            <w:vAlign w:val="center"/>
          </w:tcPr>
          <w:p w14:paraId="17C21D0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64 % (after 18 months)</w:t>
            </w:r>
          </w:p>
        </w:tc>
        <w:tc>
          <w:tcPr>
            <w:tcW w:w="1114" w:type="dxa"/>
            <w:gridSpan w:val="2"/>
            <w:vMerge/>
            <w:tcBorders>
              <w:bottom w:val="single" w:sz="8" w:space="0" w:color="BFBFBF" w:themeColor="background1" w:themeShade="BF"/>
            </w:tcBorders>
            <w:vAlign w:val="center"/>
          </w:tcPr>
          <w:p w14:paraId="0CE09C3B" w14:textId="77777777" w:rsidR="00747071" w:rsidRPr="00747071" w:rsidRDefault="00747071" w:rsidP="00D015C9">
            <w:pPr>
              <w:rPr>
                <w:rFonts w:ascii="Times New Roman" w:hAnsi="Times New Roman" w:cs="Times New Roman"/>
                <w:sz w:val="24"/>
                <w:szCs w:val="24"/>
              </w:rPr>
            </w:pPr>
          </w:p>
        </w:tc>
      </w:tr>
      <w:tr w:rsidR="00747071" w:rsidRPr="00747071" w14:paraId="74A2C60A" w14:textId="77777777" w:rsidTr="00D015C9">
        <w:tc>
          <w:tcPr>
            <w:tcW w:w="2351" w:type="dxa"/>
            <w:gridSpan w:val="2"/>
            <w:tcBorders>
              <w:top w:val="single" w:sz="8" w:space="0" w:color="BFBFBF" w:themeColor="background1" w:themeShade="BF"/>
              <w:bottom w:val="single" w:sz="8" w:space="0" w:color="BFBFBF" w:themeColor="background1" w:themeShade="BF"/>
            </w:tcBorders>
            <w:vAlign w:val="center"/>
          </w:tcPr>
          <w:p w14:paraId="7803EA61"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Share of patients with early retirement / sick leave</w:t>
            </w:r>
          </w:p>
        </w:tc>
        <w:tc>
          <w:tcPr>
            <w:tcW w:w="5941" w:type="dxa"/>
            <w:gridSpan w:val="11"/>
            <w:tcBorders>
              <w:top w:val="single" w:sz="8" w:space="0" w:color="BFBFBF" w:themeColor="background1" w:themeShade="BF"/>
              <w:bottom w:val="single" w:sz="8" w:space="0" w:color="BFBFBF" w:themeColor="background1" w:themeShade="BF"/>
            </w:tcBorders>
            <w:vAlign w:val="center"/>
          </w:tcPr>
          <w:p w14:paraId="494379DF"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36 %</w:t>
            </w:r>
          </w:p>
        </w:tc>
        <w:tc>
          <w:tcPr>
            <w:tcW w:w="1114" w:type="dxa"/>
            <w:gridSpan w:val="2"/>
            <w:tcBorders>
              <w:top w:val="single" w:sz="8" w:space="0" w:color="BFBFBF" w:themeColor="background1" w:themeShade="BF"/>
              <w:bottom w:val="single" w:sz="8" w:space="0" w:color="BFBFBF" w:themeColor="background1" w:themeShade="BF"/>
            </w:tcBorders>
            <w:vAlign w:val="center"/>
          </w:tcPr>
          <w:p w14:paraId="3CA72E2A" w14:textId="519E8065"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7qA4PzjZ","properties":{"formattedCitation":"[19,20]","plainCitation":"[19,20]","noteIndex":0},"citationItems":[{"id":41,"uris":["http://zotero.org/users/4824451/items/TY2KRVUX"],"uri":["http://zotero.org/users/4824451/items/TY2KRVUX"],"itemData":{"id":41,"type":"article-journal","abstract":"Fatigue is a highly prevalent and debilitating symptom in cancer survivors. The aim of this study was to assess the impact of fatigue and other cancer-related symptoms on the return to work of cancer survivors. A prospective inception cohort study with 12 months of follow-up was initiated. At 6 months following the first day of sick leave, levels of fatigue, depression, sleep problems, physical complaints, cognitive dysfunction and psychological distress were assessed, in addition to clinical, sociodemographic and work-related factors. Data were obtained from one academic hospital and two general hospitals in the Netherlands. 235 patients who had a primary diagnosis of cancer and underwent treatment with curative intent were included. The rate of return to work was measured at 6, 12 and18 months. Hazard ratios (HRs) for the duration of sick leave up to 18 months following the first day of sick leave were calculated. The rate of return to work increased from 24% at 6 months to 64% at 18 months following the first day of sick leave. Fatigue, diagnosis, treatment type, age, gender, depression, physical complaints and workload were all related to the time taken to return to work. Fatigue scores were also strongly related to diagnosis, physical complaints, and depression scores. Fatigue at 6 months predicted a longer sick leave with a hazard ratio of 0.71 (95% Confidence Interval (C.I.) 0.59–0.85), adjusted for diagnosis, treatment type, age and gender. In a multivariate Cox regression analysis, diagnosis, treatment, age, physical complaints and workload remained the only significant predictors of duration of the sick leave. 64% of cancer survivors returned to work within 18 months. Fatigue levels predicted the return to work. This was independent of the diagnosis and treatment, but not of other cancer-related symptoms. Better management of cancer-related symptoms is therefore needed to facilitate the return to work of cancer patients.","container-title":"European Journal of Cancer","DOI":"10.1016/S0959-8049(03)00364-2","ISSN":"0959-8049","issue":"11","journalAbbreviation":"European Journal of Cancer","page":"1562-1567","source":"ScienceDirect","title":"Cancer, fatigue and the return of patients to work—a prospective cohort study","volume":"39","author":[{"family":"Spelten","given":"E. R."},{"family":"Verbeek","given":"J. H. A. M."},{"family":"Uitterhoeve","given":"A. L. J."},{"family":"Ansink","given":"A. C."},{"family":"Lelie","given":"J.","non-dropping-particle":"van der"},{"family":"Reijke","given":"T. M.","non-dropping-particle":"de"},{"family":"Kammeijer","given":"M."},{"family":"Haes","given":"J. C. J. M.","non-dropping-particle":"de"},{"family":"Sprangers","given":"M. A. G."}],"issued":{"date-parts":[["2003",7,1]]}}},{"id":12,"uris":["http://zotero.org/users/4824451/items/GAX7ZTMC"],"uri":["http://zotero.org/users/4824451/items/GAX7ZTMC"],"itemData":{"id":12,"type":"article-journal","abstract":"Purpose The aims of this study were to determine the proportion of return to work (RTW) among sick-listed patients diagnosed with one of eight subtypes of hematological malignancies; to evaluate the influence of type of hematological malignancy, comorbidity, use of anxiolytics and antidepressants, socioeconomic and demographic factors on RTW; and to investigate if these associations differ between genders.","container-title":"Journal of Cancer Survivorship","DOI":"10.1007/s11764-013-0300-z","ISSN":"1932-2259, 1932-2267","issue":"4","language":"en","page":"614-623","source":"Crossref","title":"Type of hematological malignancy is crucial for the return to work prognosis: a register-based cohort study","title-short":"Type of hematological malignancy is crucial for the return to work prognosis","volume":"7","author":[{"family":"Horsboel","given":"Trine Allerslev"},{"family":"Nielsen","given":"Claus Vinther"},{"family":"Nielsen","given":"Bendt"},{"family":"Jensen","given":"Chris"},{"family":"Andersen","given":"Niels Trolle"},{"family":"Thurah","given":"Annette","non-dropping-particle":"de"}],"issued":{"date-parts":[["2013",12]]}}}],"schema":"https://github.com/citation-style-language/schema/raw/master/csl-citation.json"}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[19,20]</w:t>
            </w:r>
            <w:r w:rsidRPr="00747071">
              <w:rPr>
                <w:rFonts w:ascii="Times New Roman" w:hAnsi="Times New Roman" w:cs="Times New Roman"/>
                <w:sz w:val="24"/>
                <w:szCs w:val="24"/>
              </w:rPr>
              <w:fldChar w:fldCharType="end"/>
            </w:r>
          </w:p>
        </w:tc>
      </w:tr>
      <w:tr w:rsidR="00747071" w:rsidRPr="00747071" w14:paraId="4ECA404F" w14:textId="77777777" w:rsidTr="00D015C9">
        <w:tc>
          <w:tcPr>
            <w:tcW w:w="2351" w:type="dxa"/>
            <w:gridSpan w:val="2"/>
            <w:tcBorders>
              <w:top w:val="single" w:sz="8" w:space="0" w:color="BFBFBF" w:themeColor="background1" w:themeShade="BF"/>
              <w:bottom w:val="single" w:sz="8" w:space="0" w:color="BFBFBF" w:themeColor="background1" w:themeShade="BF"/>
            </w:tcBorders>
            <w:vAlign w:val="center"/>
          </w:tcPr>
          <w:p w14:paraId="23946419"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Work impairment</w:t>
            </w:r>
          </w:p>
        </w:tc>
        <w:tc>
          <w:tcPr>
            <w:tcW w:w="5941" w:type="dxa"/>
            <w:gridSpan w:val="11"/>
            <w:tcBorders>
              <w:top w:val="single" w:sz="8" w:space="0" w:color="BFBFBF" w:themeColor="background1" w:themeShade="BF"/>
              <w:bottom w:val="single" w:sz="8" w:space="0" w:color="BFBFBF" w:themeColor="background1" w:themeShade="BF"/>
            </w:tcBorders>
            <w:vAlign w:val="center"/>
          </w:tcPr>
          <w:p w14:paraId="0ED0CD4E"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30 %</w:t>
            </w:r>
          </w:p>
        </w:tc>
        <w:tc>
          <w:tcPr>
            <w:tcW w:w="1114" w:type="dxa"/>
            <w:gridSpan w:val="2"/>
            <w:tcBorders>
              <w:top w:val="single" w:sz="8" w:space="0" w:color="BFBFBF" w:themeColor="background1" w:themeShade="BF"/>
              <w:bottom w:val="single" w:sz="8" w:space="0" w:color="BFBFBF" w:themeColor="background1" w:themeShade="BF"/>
            </w:tcBorders>
            <w:vAlign w:val="center"/>
          </w:tcPr>
          <w:p w14:paraId="7B60E1FA" w14:textId="1B6B645F"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7cQMJJEV","properties":{"formattedCitation":"[14,23,24]","plainCitation":"[14,23,24]","noteIndex":0},"citationItems":[{"id":39,"uris":["http://zotero.org/users/4824451/items/52MA3CJA"],"uri":["http://zotero.org/users/4824451/items/52MA3CJA"],"itemData":{"id":39,"type":"article-journal","abstract":"Introduction: Although much is known about the efficacy, toxicity, and direct costs of treatment for follicular lymphoma (FL), there is no data assessing the impact of this diagnosis on the work productivity of affected individuals. Methods: We conducted a cross-sectional survey study of consecutive patients attending a malignant haematology clinic at a large multi-disciplinary cancer centre. Patients with a diagnosis of FL or other indolent non-Hodgkin's lymphoma completed questionnaires assessing health status, work productivity, and activity impairment. Results: Eighty-four patients completed the survey study (95% response). Patients who continued to work reported a minimal impact on their work productivity (10%±standard deviation SD 20; 0%=no effect and 100%=complete impairment of activity) and on their daily activities (13%±SD 25) attributable to their cancer. Prior to lymphoma diagnosis, over 71% of patients were working while 14% were retired. At the time of survey administration, only 41% of patients were still able to work with a significant proportion of patients having transitioned to retirement (36%), sick leave (10%), or unemployment (4%). On multivariate analysis, significant activity impairment (daily activity impairment&gt;50%) was predicted by poor self-rated health status (OR 32.1; 95% CI: 5.9–174.2; p&lt;0.0001) and active chemotherapy treatment (OR 14.5; 95% CI: 0.91–230.9; p=0.059). Conclusions: Although few patients with indolent lymphoma identified significant impairment in productivity, many were unable to continue employment following diagnosis, needed to miss days from work, or imposed a significant burden on caregivers. The greatest impact on activity is apparent in patients who rate their health status as poor and in those who are currently receiving systemic therapy. Copyright © 2008 John Wiley &amp; Sons, Ltd.","container-title":"Psycho-Oncology","DOI":"10.1002/pon.1404","ISSN":"1099-1611","issue":"5","language":"en","page":"554-559","source":"Wiley Online Library","title":"The impact of follicular (FL) and other indolent non-Hodgkin's lymphomas (NHL) on work productivity–a preliminary analysis","volume":"18","author":[{"family":"Cheung","given":"Matthew C."},{"family":"Imrie","given":"Kevin R."},{"family":"Friedlich","given":"Jessica"},{"family":"Buckstein","given":"Rena"},{"family":"Lathia","given":"Nina"},{"family":"Mittmann","given":"Nicole"}],"issued":{"date-parts":[["2009",5,1]]}}},{"id":44,"uris":["http://zotero.org/users/4824451/items/GYDFUCTM"],"uri":["http://zotero.org/users/4824451/items/GYDFUCTM"],"itemData":{"id":44,"type":"article-journal","abstract":"Abstract.  Background: The purpose of this study was to determine whether there was a relationship between disease activity and health functioning, as measured","container-title":"Annals of Oncology","DOI":"10.1093/annonc/mdm543","ISSN":"0923-7534","issue":"3","journalAbbreviation":"Ann Oncol","language":"en","page":"570-576","source":"academic.oup.com","title":"The impact of follicular lymphoma on health-related quality of life","volume":"19","author":[{"family":"Pettengell","given":"R."},{"family":"Donatti","given":"C."},{"family":"Hoskin","given":"P."},{"family":"Poynton","given":"C."},{"family":"Kettle","given":"P. J."},{"family":"Hancock","given":"B."},{"family":"Johnson","given":"S."},{"family":"Dyer","given":"M. J. S."},{"family":"Rule","given":"S."},{"family":"Walker","given":"M."},{"family":"Wild","given":"D."}],"issued":{"date-parts":[["2008",3,1]]}}},{"id":40,"uris":["http://zotero.org/users/4824451/items/BCGZSJDH"],"uri":["http://zotero.org/users/4824451/items/BCGZSJDH"],"itemData":{"id":40,"type":"article-journal","abstract":"In this study we investigated the quality of life (QoL) of long-term survivors with follicular lymphoma (FL) after high-dose chemotherapy (HDCT) and autologous stem cell transplant (ASCT) using two standardized questionnaires. Altogether, 124 patients with FL were included in the study. A total of 63 patients received HDCT with ASCT, and this group was compared with 61 patients who were treated with rituximab and CHOP (cyclophosphamide, doxorubicin, vincristine, prednisone) chemotherapy and supplementary radiation. In addition, the QoL of the patients was compared to the QoL of healthy people on the basis of two studies about the general health status of the German population. When the QoLs of the HDCT group and the conventional therapy group were compared, there was a tendency for better QoL in the HDCT group, maybe due to a higher proportion of patients in complete remission (CR) or a longer follow-up period in the HDCT group (8.5 years vs. 4.5 years in the conventional therapy group). In both the HDCT group and the conventional therapy group, the results of the questionnaires showed a reduced QoL compared to the healthy population. In this study, there was a tendency for better QoL in the HDCT group compared to the conventional therapy group. However, the negative impact of both HDCT and conventional therapy on the QoL of patients with follicular lymphoma should not be underestimated and should lead to the development of less toxic therapy strategies.","container-title":"Leukemia &amp; Lymphoma","DOI":"10.3109/10428194.2011.613132","ISSN":"1042-8194","issue":"3","note":"PMID: 21864036","page":"386-393","source":"Taylor and Francis+NEJM","title":"The impact of high-dose chemotherapy, autologous stem cell transplant and conventional chemotherapy on quality of life of long-term survivors with follicular lymphoma","volume":"53","author":[{"family":"Andresen","given":"Silke"},{"family":"Brandt","given":"Juliane"},{"family":"Dietrich","given":"Sascha"},{"family":"Memmer","given":"Marie-Luise"},{"family":"Ho","given":"Anthony D."},{"family":"Witzens-Harig","given":"Mathias"}],"issued":{"date-parts":[["2012",3,1]]}}}],"schema":"https://github.com/citation-style-language/schema/raw/master/csl-citation.json"}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[14,23,24]</w:t>
            </w:r>
            <w:r w:rsidRPr="00747071">
              <w:rPr>
                <w:rFonts w:ascii="Times New Roman" w:hAnsi="Times New Roman" w:cs="Times New Roman"/>
                <w:sz w:val="24"/>
                <w:szCs w:val="24"/>
              </w:rPr>
              <w:fldChar w:fldCharType="end"/>
            </w:r>
          </w:p>
        </w:tc>
      </w:tr>
      <w:tr w:rsidR="00747071" w:rsidRPr="00747071" w14:paraId="246D7A51" w14:textId="77777777" w:rsidTr="00D015C9">
        <w:tc>
          <w:tcPr>
            <w:tcW w:w="2351" w:type="dxa"/>
            <w:gridSpan w:val="2"/>
            <w:tcBorders>
              <w:top w:val="single" w:sz="8" w:space="0" w:color="BFBFBF" w:themeColor="background1" w:themeShade="BF"/>
              <w:bottom w:val="single" w:sz="8" w:space="0" w:color="BFBFBF" w:themeColor="background1" w:themeShade="BF"/>
            </w:tcBorders>
            <w:vAlign w:val="center"/>
          </w:tcPr>
          <w:p w14:paraId="401206B8"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lastRenderedPageBreak/>
              <w:t>Hours spent on unpaid work activities</w:t>
            </w:r>
          </w:p>
        </w:tc>
        <w:tc>
          <w:tcPr>
            <w:tcW w:w="5941" w:type="dxa"/>
            <w:gridSpan w:val="11"/>
            <w:tcBorders>
              <w:top w:val="single" w:sz="8" w:space="0" w:color="BFBFBF" w:themeColor="background1" w:themeShade="BF"/>
              <w:bottom w:val="single" w:sz="8" w:space="0" w:color="BFBFBF" w:themeColor="background1" w:themeShade="BF"/>
            </w:tcBorders>
            <w:vAlign w:val="center"/>
          </w:tcPr>
          <w:p w14:paraId="0E988987"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According to time use survey (by gender and age group)</w:t>
            </w:r>
          </w:p>
        </w:tc>
        <w:tc>
          <w:tcPr>
            <w:tcW w:w="1114" w:type="dxa"/>
            <w:gridSpan w:val="2"/>
            <w:tcBorders>
              <w:top w:val="single" w:sz="8" w:space="0" w:color="BFBFBF" w:themeColor="background1" w:themeShade="BF"/>
              <w:bottom w:val="single" w:sz="8" w:space="0" w:color="BFBFBF" w:themeColor="background1" w:themeShade="BF"/>
            </w:tcBorders>
            <w:vAlign w:val="center"/>
          </w:tcPr>
          <w:p w14:paraId="0CE0BADD" w14:textId="251A0261"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UBkfZcco","properties":{"formattedCitation":"[28]","plainCitation":"[28]","noteIndex":0},"citationItems":[{"id":31,"uris":["http://zotero.org/users/4824451/items/3GLQP8B5"],"uri":["http://zotero.org/users/4824451/items/3GLQP8B5"],"itemData":{"id":31,"type":"article","language":"de","publisher":"Statistisches Bundesamt, Wiesbaden","source":"Zotero","title":"Zeitverwendungserhebung  - Aktivitäten in Stunden und Minuten für ausgewählte Personengruppen - 2012/2013","author":[{"family":"Destatis","given":""}]}}],"schema":"https://github.com/citation-style-language/schema/raw/master/csl-citation.json"}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[28]</w:t>
            </w:r>
            <w:r w:rsidRPr="00747071">
              <w:rPr>
                <w:rFonts w:ascii="Times New Roman" w:hAnsi="Times New Roman" w:cs="Times New Roman"/>
                <w:sz w:val="24"/>
                <w:szCs w:val="24"/>
              </w:rPr>
              <w:fldChar w:fldCharType="end"/>
            </w:r>
          </w:p>
        </w:tc>
      </w:tr>
      <w:tr w:rsidR="00747071" w:rsidRPr="005E0ACB" w14:paraId="4DC36FF7" w14:textId="77777777" w:rsidTr="00D015C9">
        <w:tc>
          <w:tcPr>
            <w:tcW w:w="2351" w:type="dxa"/>
            <w:gridSpan w:val="2"/>
            <w:tcBorders>
              <w:top w:val="single" w:sz="8" w:space="0" w:color="BFBFBF" w:themeColor="background1" w:themeShade="BF"/>
              <w:bottom w:val="single" w:sz="8" w:space="0" w:color="auto"/>
            </w:tcBorders>
            <w:vAlign w:val="center"/>
          </w:tcPr>
          <w:p w14:paraId="16FA3A96"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GVA per labor input</w:t>
            </w:r>
          </w:p>
        </w:tc>
        <w:tc>
          <w:tcPr>
            <w:tcW w:w="5941" w:type="dxa"/>
            <w:gridSpan w:val="11"/>
            <w:tcBorders>
              <w:top w:val="single" w:sz="8" w:space="0" w:color="BFBFBF" w:themeColor="background1" w:themeShade="BF"/>
              <w:bottom w:val="single" w:sz="8" w:space="0" w:color="auto"/>
            </w:tcBorders>
            <w:vAlign w:val="center"/>
          </w:tcPr>
          <w:p w14:paraId="18A65912" w14:textId="77777777" w:rsidR="00747071" w:rsidRPr="00747071" w:rsidRDefault="00747071" w:rsidP="00D015C9">
            <w:pPr>
              <w:rPr>
                <w:rFonts w:ascii="Times New Roman" w:hAnsi="Times New Roman" w:cs="Times New Roman"/>
                <w:sz w:val="24"/>
                <w:szCs w:val="24"/>
              </w:rPr>
            </w:pPr>
            <w:r w:rsidRPr="00747071">
              <w:rPr>
                <w:rFonts w:ascii="Times New Roman" w:hAnsi="Times New Roman" w:cs="Times New Roman"/>
                <w:sz w:val="24"/>
                <w:szCs w:val="24"/>
              </w:rPr>
              <w:t xml:space="preserve">According to GVA per industry sector &amp; per capita </w:t>
            </w:r>
          </w:p>
        </w:tc>
        <w:tc>
          <w:tcPr>
            <w:tcW w:w="1114" w:type="dxa"/>
            <w:gridSpan w:val="2"/>
            <w:tcBorders>
              <w:top w:val="single" w:sz="8" w:space="0" w:color="BFBFBF" w:themeColor="background1" w:themeShade="BF"/>
              <w:bottom w:val="single" w:sz="8" w:space="0" w:color="auto"/>
            </w:tcBorders>
            <w:vAlign w:val="center"/>
          </w:tcPr>
          <w:p w14:paraId="40B3D371" w14:textId="762576BC" w:rsidR="00747071" w:rsidRPr="005E0ACB" w:rsidRDefault="00747071" w:rsidP="00D015C9">
            <w:pPr>
              <w:rPr>
                <w:rFonts w:ascii="Times New Roman" w:hAnsi="Times New Roman" w:cs="Times New Roman"/>
                <w:sz w:val="24"/>
                <w:szCs w:val="24"/>
              </w:rPr>
            </w:pPr>
            <w:r w:rsidRPr="00747071">
              <w:rPr>
                <w:rFonts w:ascii="Times New Roman" w:hAnsi="Times New Roman" w:cs="Times New Roman"/>
                <w:sz w:val="24"/>
                <w:szCs w:val="24"/>
              </w:rPr>
              <w:fldChar w:fldCharType="begin"/>
            </w:r>
            <w:r w:rsidR="00D92A4C">
              <w:rPr>
                <w:rFonts w:ascii="Times New Roman" w:hAnsi="Times New Roman" w:cs="Times New Roman"/>
                <w:sz w:val="24"/>
                <w:szCs w:val="24"/>
              </w:rPr>
              <w:instrText xml:space="preserve"> ADDIN ZOTERO_ITEM CSL_CITATION {"citationID":"f1ramUGq","properties":{"formattedCitation":"[25]","plainCitation":"[25]","noteIndex":0},"citationItems":[{"id":28,"uris":["http://zotero.org/users/4824451/items/78FMG38C"],"uri":["http://zotero.org/users/4824451/items/78FMG38C"],"itemData":{"id":28,"type":"article","publisher":"Statistisches Bundesamt, Wiesbaden","title":"Volkswirtschaftliche Gesamtrechnung: Inlandsproduktberechnung Detaillierte Jahresergebnisse 2015","author":[{"family":"Destatis","given":""}],"issued":{"date-parts":[["2016"]]}}}],"schema":"https://github.com/citation-style-language/schema/raw/master/csl-citation.json"} </w:instrText>
            </w:r>
            <w:r w:rsidRPr="00747071">
              <w:rPr>
                <w:rFonts w:ascii="Times New Roman" w:hAnsi="Times New Roman" w:cs="Times New Roman"/>
                <w:sz w:val="24"/>
                <w:szCs w:val="24"/>
              </w:rPr>
              <w:fldChar w:fldCharType="separate"/>
            </w:r>
            <w:r w:rsidR="00D92A4C" w:rsidRPr="00D92A4C">
              <w:rPr>
                <w:rFonts w:ascii="Times New Roman" w:hAnsi="Times New Roman" w:cs="Times New Roman"/>
                <w:sz w:val="24"/>
              </w:rPr>
              <w:t>[25]</w:t>
            </w:r>
            <w:r w:rsidRPr="00747071">
              <w:rPr>
                <w:rFonts w:ascii="Times New Roman" w:hAnsi="Times New Roman" w:cs="Times New Roman"/>
                <w:sz w:val="24"/>
                <w:szCs w:val="24"/>
              </w:rPr>
              <w:fldChar w:fldCharType="end"/>
            </w:r>
          </w:p>
        </w:tc>
      </w:tr>
    </w:tbl>
    <w:p w14:paraId="5DAB2F5F" w14:textId="77777777" w:rsidR="00747071" w:rsidRPr="006711A6" w:rsidRDefault="00747071" w:rsidP="00747071">
      <w:pPr>
        <w:rPr>
          <w:rFonts w:ascii="Times New Roman" w:hAnsi="Times New Roman" w:cs="Times New Roman"/>
        </w:rPr>
      </w:pPr>
    </w:p>
    <w:p w14:paraId="6FA1639C" w14:textId="77777777" w:rsidR="00747071" w:rsidRPr="00747071" w:rsidRDefault="00747071" w:rsidP="00747071"/>
    <w:sectPr w:rsidR="00747071" w:rsidRPr="00747071" w:rsidSect="0025079A">
      <w:footerReference w:type="default" r:id="rId11"/>
      <w:pgSz w:w="12240" w:h="15840" w:code="1"/>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53586" w14:textId="77777777" w:rsidR="007E639E" w:rsidRDefault="007E639E" w:rsidP="00441114">
      <w:pPr>
        <w:spacing w:after="0" w:line="240" w:lineRule="auto"/>
      </w:pPr>
      <w:r>
        <w:separator/>
      </w:r>
    </w:p>
  </w:endnote>
  <w:endnote w:type="continuationSeparator" w:id="0">
    <w:p w14:paraId="60E04E8A" w14:textId="77777777" w:rsidR="007E639E" w:rsidRDefault="007E639E" w:rsidP="00441114">
      <w:pPr>
        <w:spacing w:after="0" w:line="240" w:lineRule="auto"/>
      </w:pPr>
      <w:r>
        <w:continuationSeparator/>
      </w:r>
    </w:p>
  </w:endnote>
  <w:endnote w:type="continuationNotice" w:id="1">
    <w:p w14:paraId="4BD5A55D" w14:textId="77777777" w:rsidR="007E639E" w:rsidRDefault="007E6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2000503000000000000"/>
    <w:charset w:val="00"/>
    <w:family w:val="auto"/>
    <w:pitch w:val="variable"/>
    <w:sig w:usb0="8000008B" w:usb1="000060E8"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9205738"/>
      <w:docPartObj>
        <w:docPartGallery w:val="Page Numbers (Bottom of Page)"/>
        <w:docPartUnique/>
      </w:docPartObj>
    </w:sdtPr>
    <w:sdtEndPr>
      <w:rPr>
        <w:rFonts w:ascii="Arial" w:hAnsi="Arial" w:cs="Arial"/>
        <w:sz w:val="20"/>
      </w:rPr>
    </w:sdtEndPr>
    <w:sdtContent>
      <w:p w14:paraId="5E420800" w14:textId="77777777" w:rsidR="00E818D7" w:rsidRDefault="00E818D7">
        <w:pPr>
          <w:pStyle w:val="Footer"/>
          <w:jc w:val="center"/>
        </w:pPr>
      </w:p>
      <w:p w14:paraId="3AE37D05" w14:textId="6BA97031" w:rsidR="00E818D7" w:rsidRPr="004D6F4E" w:rsidRDefault="00E818D7">
        <w:pPr>
          <w:pStyle w:val="Footer"/>
          <w:jc w:val="center"/>
          <w:rPr>
            <w:rFonts w:ascii="Arial" w:hAnsi="Arial" w:cs="Arial"/>
            <w:sz w:val="20"/>
          </w:rPr>
        </w:pPr>
        <w:r w:rsidRPr="004D6F4E">
          <w:rPr>
            <w:rFonts w:ascii="Arial" w:hAnsi="Arial" w:cs="Arial"/>
            <w:sz w:val="20"/>
          </w:rPr>
          <w:fldChar w:fldCharType="begin"/>
        </w:r>
        <w:r w:rsidRPr="004D6F4E">
          <w:rPr>
            <w:rFonts w:ascii="Arial" w:hAnsi="Arial" w:cs="Arial"/>
            <w:sz w:val="20"/>
          </w:rPr>
          <w:instrText>PAGE   \* MERGEFORMAT</w:instrText>
        </w:r>
        <w:r w:rsidRPr="004D6F4E">
          <w:rPr>
            <w:rFonts w:ascii="Arial" w:hAnsi="Arial" w:cs="Arial"/>
            <w:sz w:val="20"/>
          </w:rPr>
          <w:fldChar w:fldCharType="separate"/>
        </w:r>
        <w:r w:rsidRPr="004D6F4E">
          <w:rPr>
            <w:rFonts w:ascii="Arial" w:hAnsi="Arial" w:cs="Arial"/>
            <w:noProof/>
            <w:sz w:val="20"/>
            <w:lang w:val="de-DE"/>
          </w:rPr>
          <w:t>11</w:t>
        </w:r>
        <w:r w:rsidRPr="004D6F4E">
          <w:rPr>
            <w:rFonts w:ascii="Arial" w:hAnsi="Arial" w:cs="Arial"/>
            <w:sz w:val="20"/>
          </w:rPr>
          <w:fldChar w:fldCharType="end"/>
        </w:r>
      </w:p>
    </w:sdtContent>
  </w:sdt>
  <w:p w14:paraId="255E4FB2" w14:textId="77777777" w:rsidR="00E818D7" w:rsidRDefault="00E81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C9946" w14:textId="77777777" w:rsidR="007E639E" w:rsidRDefault="007E639E" w:rsidP="00441114">
      <w:pPr>
        <w:spacing w:after="0" w:line="240" w:lineRule="auto"/>
      </w:pPr>
      <w:r>
        <w:separator/>
      </w:r>
    </w:p>
  </w:footnote>
  <w:footnote w:type="continuationSeparator" w:id="0">
    <w:p w14:paraId="13DAF99A" w14:textId="77777777" w:rsidR="007E639E" w:rsidRDefault="007E639E" w:rsidP="00441114">
      <w:pPr>
        <w:spacing w:after="0" w:line="240" w:lineRule="auto"/>
      </w:pPr>
      <w:r>
        <w:continuationSeparator/>
      </w:r>
    </w:p>
  </w:footnote>
  <w:footnote w:type="continuationNotice" w:id="1">
    <w:p w14:paraId="51B8C6C1" w14:textId="77777777" w:rsidR="007E639E" w:rsidRDefault="007E63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77543"/>
    <w:multiLevelType w:val="hybridMultilevel"/>
    <w:tmpl w:val="56AEBC0A"/>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F61F2"/>
    <w:multiLevelType w:val="hybridMultilevel"/>
    <w:tmpl w:val="CD7A5FAE"/>
    <w:lvl w:ilvl="0" w:tplc="5550508E">
      <w:start w:val="27"/>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950CB8"/>
    <w:multiLevelType w:val="hybridMultilevel"/>
    <w:tmpl w:val="26480932"/>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902AE2"/>
    <w:multiLevelType w:val="hybridMultilevel"/>
    <w:tmpl w:val="D5AA7FA6"/>
    <w:lvl w:ilvl="0" w:tplc="990CDA5A">
      <w:start w:val="1"/>
      <w:numFmt w:val="bullet"/>
      <w:lvlText w:val="•"/>
      <w:lvlJc w:val="left"/>
      <w:pPr>
        <w:tabs>
          <w:tab w:val="num" w:pos="720"/>
        </w:tabs>
        <w:ind w:left="720" w:hanging="360"/>
      </w:pPr>
      <w:rPr>
        <w:rFonts w:ascii="Arial" w:hAnsi="Arial" w:hint="default"/>
      </w:rPr>
    </w:lvl>
    <w:lvl w:ilvl="1" w:tplc="6902D162">
      <w:start w:val="44"/>
      <w:numFmt w:val="bullet"/>
      <w:lvlText w:val="•"/>
      <w:lvlJc w:val="left"/>
      <w:pPr>
        <w:tabs>
          <w:tab w:val="num" w:pos="1440"/>
        </w:tabs>
        <w:ind w:left="1440" w:hanging="360"/>
      </w:pPr>
      <w:rPr>
        <w:rFonts w:ascii="Arial" w:hAnsi="Arial" w:hint="default"/>
      </w:rPr>
    </w:lvl>
    <w:lvl w:ilvl="2" w:tplc="5204CDB2" w:tentative="1">
      <w:start w:val="1"/>
      <w:numFmt w:val="bullet"/>
      <w:lvlText w:val="•"/>
      <w:lvlJc w:val="left"/>
      <w:pPr>
        <w:tabs>
          <w:tab w:val="num" w:pos="2160"/>
        </w:tabs>
        <w:ind w:left="2160" w:hanging="360"/>
      </w:pPr>
      <w:rPr>
        <w:rFonts w:ascii="Arial" w:hAnsi="Arial" w:hint="default"/>
      </w:rPr>
    </w:lvl>
    <w:lvl w:ilvl="3" w:tplc="E1A4FE3C" w:tentative="1">
      <w:start w:val="1"/>
      <w:numFmt w:val="bullet"/>
      <w:lvlText w:val="•"/>
      <w:lvlJc w:val="left"/>
      <w:pPr>
        <w:tabs>
          <w:tab w:val="num" w:pos="2880"/>
        </w:tabs>
        <w:ind w:left="2880" w:hanging="360"/>
      </w:pPr>
      <w:rPr>
        <w:rFonts w:ascii="Arial" w:hAnsi="Arial" w:hint="default"/>
      </w:rPr>
    </w:lvl>
    <w:lvl w:ilvl="4" w:tplc="D18CA310" w:tentative="1">
      <w:start w:val="1"/>
      <w:numFmt w:val="bullet"/>
      <w:lvlText w:val="•"/>
      <w:lvlJc w:val="left"/>
      <w:pPr>
        <w:tabs>
          <w:tab w:val="num" w:pos="3600"/>
        </w:tabs>
        <w:ind w:left="3600" w:hanging="360"/>
      </w:pPr>
      <w:rPr>
        <w:rFonts w:ascii="Arial" w:hAnsi="Arial" w:hint="default"/>
      </w:rPr>
    </w:lvl>
    <w:lvl w:ilvl="5" w:tplc="2D3E16E4" w:tentative="1">
      <w:start w:val="1"/>
      <w:numFmt w:val="bullet"/>
      <w:lvlText w:val="•"/>
      <w:lvlJc w:val="left"/>
      <w:pPr>
        <w:tabs>
          <w:tab w:val="num" w:pos="4320"/>
        </w:tabs>
        <w:ind w:left="4320" w:hanging="360"/>
      </w:pPr>
      <w:rPr>
        <w:rFonts w:ascii="Arial" w:hAnsi="Arial" w:hint="default"/>
      </w:rPr>
    </w:lvl>
    <w:lvl w:ilvl="6" w:tplc="A41A2692" w:tentative="1">
      <w:start w:val="1"/>
      <w:numFmt w:val="bullet"/>
      <w:lvlText w:val="•"/>
      <w:lvlJc w:val="left"/>
      <w:pPr>
        <w:tabs>
          <w:tab w:val="num" w:pos="5040"/>
        </w:tabs>
        <w:ind w:left="5040" w:hanging="360"/>
      </w:pPr>
      <w:rPr>
        <w:rFonts w:ascii="Arial" w:hAnsi="Arial" w:hint="default"/>
      </w:rPr>
    </w:lvl>
    <w:lvl w:ilvl="7" w:tplc="FFD09C1C" w:tentative="1">
      <w:start w:val="1"/>
      <w:numFmt w:val="bullet"/>
      <w:lvlText w:val="•"/>
      <w:lvlJc w:val="left"/>
      <w:pPr>
        <w:tabs>
          <w:tab w:val="num" w:pos="5760"/>
        </w:tabs>
        <w:ind w:left="5760" w:hanging="360"/>
      </w:pPr>
      <w:rPr>
        <w:rFonts w:ascii="Arial" w:hAnsi="Arial" w:hint="default"/>
      </w:rPr>
    </w:lvl>
    <w:lvl w:ilvl="8" w:tplc="50567D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2C7D10"/>
    <w:multiLevelType w:val="hybridMultilevel"/>
    <w:tmpl w:val="BEAC4D7C"/>
    <w:lvl w:ilvl="0" w:tplc="9AA2A5DE">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33D1082"/>
    <w:multiLevelType w:val="hybridMultilevel"/>
    <w:tmpl w:val="020CD5F0"/>
    <w:lvl w:ilvl="0" w:tplc="16703C6A">
      <w:start w:val="1"/>
      <w:numFmt w:val="lowerLetter"/>
      <w:lvlText w:val="%1)"/>
      <w:lvlJc w:val="left"/>
      <w:pPr>
        <w:tabs>
          <w:tab w:val="num" w:pos="720"/>
        </w:tabs>
        <w:ind w:left="720" w:hanging="360"/>
      </w:pPr>
    </w:lvl>
    <w:lvl w:ilvl="1" w:tplc="18E08D60" w:tentative="1">
      <w:start w:val="1"/>
      <w:numFmt w:val="lowerLetter"/>
      <w:lvlText w:val="%2)"/>
      <w:lvlJc w:val="left"/>
      <w:pPr>
        <w:tabs>
          <w:tab w:val="num" w:pos="1440"/>
        </w:tabs>
        <w:ind w:left="1440" w:hanging="360"/>
      </w:pPr>
    </w:lvl>
    <w:lvl w:ilvl="2" w:tplc="33221916" w:tentative="1">
      <w:start w:val="1"/>
      <w:numFmt w:val="lowerLetter"/>
      <w:lvlText w:val="%3)"/>
      <w:lvlJc w:val="left"/>
      <w:pPr>
        <w:tabs>
          <w:tab w:val="num" w:pos="2160"/>
        </w:tabs>
        <w:ind w:left="2160" w:hanging="360"/>
      </w:pPr>
    </w:lvl>
    <w:lvl w:ilvl="3" w:tplc="A966319C" w:tentative="1">
      <w:start w:val="1"/>
      <w:numFmt w:val="lowerLetter"/>
      <w:lvlText w:val="%4)"/>
      <w:lvlJc w:val="left"/>
      <w:pPr>
        <w:tabs>
          <w:tab w:val="num" w:pos="2880"/>
        </w:tabs>
        <w:ind w:left="2880" w:hanging="360"/>
      </w:pPr>
    </w:lvl>
    <w:lvl w:ilvl="4" w:tplc="7610D4BA" w:tentative="1">
      <w:start w:val="1"/>
      <w:numFmt w:val="lowerLetter"/>
      <w:lvlText w:val="%5)"/>
      <w:lvlJc w:val="left"/>
      <w:pPr>
        <w:tabs>
          <w:tab w:val="num" w:pos="3600"/>
        </w:tabs>
        <w:ind w:left="3600" w:hanging="360"/>
      </w:pPr>
    </w:lvl>
    <w:lvl w:ilvl="5" w:tplc="711E090C" w:tentative="1">
      <w:start w:val="1"/>
      <w:numFmt w:val="lowerLetter"/>
      <w:lvlText w:val="%6)"/>
      <w:lvlJc w:val="left"/>
      <w:pPr>
        <w:tabs>
          <w:tab w:val="num" w:pos="4320"/>
        </w:tabs>
        <w:ind w:left="4320" w:hanging="360"/>
      </w:pPr>
    </w:lvl>
    <w:lvl w:ilvl="6" w:tplc="86ACF67C" w:tentative="1">
      <w:start w:val="1"/>
      <w:numFmt w:val="lowerLetter"/>
      <w:lvlText w:val="%7)"/>
      <w:lvlJc w:val="left"/>
      <w:pPr>
        <w:tabs>
          <w:tab w:val="num" w:pos="5040"/>
        </w:tabs>
        <w:ind w:left="5040" w:hanging="360"/>
      </w:pPr>
    </w:lvl>
    <w:lvl w:ilvl="7" w:tplc="9C6662D4" w:tentative="1">
      <w:start w:val="1"/>
      <w:numFmt w:val="lowerLetter"/>
      <w:lvlText w:val="%8)"/>
      <w:lvlJc w:val="left"/>
      <w:pPr>
        <w:tabs>
          <w:tab w:val="num" w:pos="5760"/>
        </w:tabs>
        <w:ind w:left="5760" w:hanging="360"/>
      </w:pPr>
    </w:lvl>
    <w:lvl w:ilvl="8" w:tplc="D684180A" w:tentative="1">
      <w:start w:val="1"/>
      <w:numFmt w:val="lowerLetter"/>
      <w:lvlText w:val="%9)"/>
      <w:lvlJc w:val="left"/>
      <w:pPr>
        <w:tabs>
          <w:tab w:val="num" w:pos="6480"/>
        </w:tabs>
        <w:ind w:left="6480" w:hanging="360"/>
      </w:pPr>
    </w:lvl>
  </w:abstractNum>
  <w:abstractNum w:abstractNumId="6" w15:restartNumberingAfterBreak="0">
    <w:nsid w:val="54A91E06"/>
    <w:multiLevelType w:val="hybridMultilevel"/>
    <w:tmpl w:val="376EE4F0"/>
    <w:lvl w:ilvl="0" w:tplc="4F943046">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5476B8"/>
    <w:multiLevelType w:val="hybridMultilevel"/>
    <w:tmpl w:val="6A9EBBB4"/>
    <w:lvl w:ilvl="0" w:tplc="AFB8B474">
      <w:start w:val="535"/>
      <w:numFmt w:val="bullet"/>
      <w:lvlText w:val=""/>
      <w:lvlJc w:val="left"/>
      <w:pPr>
        <w:ind w:left="720" w:hanging="360"/>
      </w:pPr>
      <w:rPr>
        <w:rFonts w:ascii="Wingdings" w:eastAsiaTheme="minorHAns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AB0B51"/>
    <w:multiLevelType w:val="hybridMultilevel"/>
    <w:tmpl w:val="ABA0BA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B75C6F"/>
    <w:multiLevelType w:val="hybridMultilevel"/>
    <w:tmpl w:val="0D9465F2"/>
    <w:lvl w:ilvl="0" w:tplc="9AA401D2">
      <w:start w:val="723"/>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7"/>
  </w:num>
  <w:num w:numId="5">
    <w:abstractNumId w:val="6"/>
  </w:num>
  <w:num w:numId="6">
    <w:abstractNumId w:val="4"/>
  </w:num>
  <w:num w:numId="7">
    <w:abstractNumId w:val="8"/>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7B0"/>
    <w:rsid w:val="000000D5"/>
    <w:rsid w:val="00002B9B"/>
    <w:rsid w:val="00002EAC"/>
    <w:rsid w:val="00003492"/>
    <w:rsid w:val="000046EA"/>
    <w:rsid w:val="00007C5F"/>
    <w:rsid w:val="00011954"/>
    <w:rsid w:val="00011EB9"/>
    <w:rsid w:val="00012717"/>
    <w:rsid w:val="00012D84"/>
    <w:rsid w:val="00013059"/>
    <w:rsid w:val="000130FC"/>
    <w:rsid w:val="00017C4E"/>
    <w:rsid w:val="00020907"/>
    <w:rsid w:val="000213B7"/>
    <w:rsid w:val="0002219D"/>
    <w:rsid w:val="00023245"/>
    <w:rsid w:val="000234F9"/>
    <w:rsid w:val="00024767"/>
    <w:rsid w:val="0002549C"/>
    <w:rsid w:val="00026920"/>
    <w:rsid w:val="00026C09"/>
    <w:rsid w:val="00026DD1"/>
    <w:rsid w:val="00026E32"/>
    <w:rsid w:val="00027156"/>
    <w:rsid w:val="0003048E"/>
    <w:rsid w:val="000304B0"/>
    <w:rsid w:val="00031E06"/>
    <w:rsid w:val="000336C6"/>
    <w:rsid w:val="00034F12"/>
    <w:rsid w:val="00035E24"/>
    <w:rsid w:val="000377F9"/>
    <w:rsid w:val="00040229"/>
    <w:rsid w:val="000404C0"/>
    <w:rsid w:val="00041E6D"/>
    <w:rsid w:val="00041EA3"/>
    <w:rsid w:val="0004440D"/>
    <w:rsid w:val="0004455A"/>
    <w:rsid w:val="00044E59"/>
    <w:rsid w:val="00045F5F"/>
    <w:rsid w:val="0004670C"/>
    <w:rsid w:val="00046C27"/>
    <w:rsid w:val="000476D5"/>
    <w:rsid w:val="00047D69"/>
    <w:rsid w:val="0005054B"/>
    <w:rsid w:val="0005150E"/>
    <w:rsid w:val="00051526"/>
    <w:rsid w:val="00052193"/>
    <w:rsid w:val="0005287A"/>
    <w:rsid w:val="000539EF"/>
    <w:rsid w:val="00055637"/>
    <w:rsid w:val="00055BD0"/>
    <w:rsid w:val="0005610B"/>
    <w:rsid w:val="0005642C"/>
    <w:rsid w:val="00057A8B"/>
    <w:rsid w:val="00062E52"/>
    <w:rsid w:val="00063629"/>
    <w:rsid w:val="000639DB"/>
    <w:rsid w:val="00063E38"/>
    <w:rsid w:val="0006413B"/>
    <w:rsid w:val="00065AE0"/>
    <w:rsid w:val="000677BA"/>
    <w:rsid w:val="00071695"/>
    <w:rsid w:val="00071926"/>
    <w:rsid w:val="00073D13"/>
    <w:rsid w:val="00075816"/>
    <w:rsid w:val="00076E5E"/>
    <w:rsid w:val="00080496"/>
    <w:rsid w:val="00083259"/>
    <w:rsid w:val="00083DE2"/>
    <w:rsid w:val="000844D3"/>
    <w:rsid w:val="00085192"/>
    <w:rsid w:val="00085F4A"/>
    <w:rsid w:val="00085FCB"/>
    <w:rsid w:val="00086562"/>
    <w:rsid w:val="0008705D"/>
    <w:rsid w:val="000875C3"/>
    <w:rsid w:val="00090BB8"/>
    <w:rsid w:val="00092893"/>
    <w:rsid w:val="00093019"/>
    <w:rsid w:val="00093E99"/>
    <w:rsid w:val="00094665"/>
    <w:rsid w:val="000952E9"/>
    <w:rsid w:val="00095CCD"/>
    <w:rsid w:val="00095DB0"/>
    <w:rsid w:val="00096696"/>
    <w:rsid w:val="000967BA"/>
    <w:rsid w:val="000A0C85"/>
    <w:rsid w:val="000A40BE"/>
    <w:rsid w:val="000A5223"/>
    <w:rsid w:val="000A65B4"/>
    <w:rsid w:val="000B25F2"/>
    <w:rsid w:val="000B273D"/>
    <w:rsid w:val="000B44A7"/>
    <w:rsid w:val="000B49A4"/>
    <w:rsid w:val="000B5052"/>
    <w:rsid w:val="000B54BB"/>
    <w:rsid w:val="000B57E7"/>
    <w:rsid w:val="000C336C"/>
    <w:rsid w:val="000C501C"/>
    <w:rsid w:val="000C51D4"/>
    <w:rsid w:val="000C58BA"/>
    <w:rsid w:val="000C6BB7"/>
    <w:rsid w:val="000C73A8"/>
    <w:rsid w:val="000C7E10"/>
    <w:rsid w:val="000D038C"/>
    <w:rsid w:val="000D06D9"/>
    <w:rsid w:val="000D1777"/>
    <w:rsid w:val="000D2EEF"/>
    <w:rsid w:val="000D3732"/>
    <w:rsid w:val="000D436E"/>
    <w:rsid w:val="000D6565"/>
    <w:rsid w:val="000D72C9"/>
    <w:rsid w:val="000D7BF0"/>
    <w:rsid w:val="000E01C3"/>
    <w:rsid w:val="000E08F9"/>
    <w:rsid w:val="000E099E"/>
    <w:rsid w:val="000E1E16"/>
    <w:rsid w:val="000E2B9C"/>
    <w:rsid w:val="000E3127"/>
    <w:rsid w:val="000E46CB"/>
    <w:rsid w:val="000E5BE1"/>
    <w:rsid w:val="000E6170"/>
    <w:rsid w:val="000E695D"/>
    <w:rsid w:val="000F1A26"/>
    <w:rsid w:val="000F3C39"/>
    <w:rsid w:val="000F4C0C"/>
    <w:rsid w:val="00100273"/>
    <w:rsid w:val="001005BF"/>
    <w:rsid w:val="00101322"/>
    <w:rsid w:val="00101C36"/>
    <w:rsid w:val="00101EF5"/>
    <w:rsid w:val="00103030"/>
    <w:rsid w:val="0010367E"/>
    <w:rsid w:val="001049FE"/>
    <w:rsid w:val="001051F0"/>
    <w:rsid w:val="00106913"/>
    <w:rsid w:val="00111A93"/>
    <w:rsid w:val="00112E5D"/>
    <w:rsid w:val="00112E77"/>
    <w:rsid w:val="00113261"/>
    <w:rsid w:val="00116B19"/>
    <w:rsid w:val="00116B74"/>
    <w:rsid w:val="00116EE7"/>
    <w:rsid w:val="0011761D"/>
    <w:rsid w:val="001178E6"/>
    <w:rsid w:val="00121706"/>
    <w:rsid w:val="001218F2"/>
    <w:rsid w:val="0012326C"/>
    <w:rsid w:val="00123D1B"/>
    <w:rsid w:val="00123DD4"/>
    <w:rsid w:val="001241DF"/>
    <w:rsid w:val="001258D7"/>
    <w:rsid w:val="00127616"/>
    <w:rsid w:val="00130276"/>
    <w:rsid w:val="0013222F"/>
    <w:rsid w:val="0013329D"/>
    <w:rsid w:val="00134131"/>
    <w:rsid w:val="00136A5E"/>
    <w:rsid w:val="00137E55"/>
    <w:rsid w:val="0014056E"/>
    <w:rsid w:val="00141728"/>
    <w:rsid w:val="00141937"/>
    <w:rsid w:val="00142489"/>
    <w:rsid w:val="001433EC"/>
    <w:rsid w:val="001434A5"/>
    <w:rsid w:val="00143636"/>
    <w:rsid w:val="00143E89"/>
    <w:rsid w:val="00144FF3"/>
    <w:rsid w:val="00145BFE"/>
    <w:rsid w:val="00146270"/>
    <w:rsid w:val="00146390"/>
    <w:rsid w:val="00147842"/>
    <w:rsid w:val="00147988"/>
    <w:rsid w:val="00147FA9"/>
    <w:rsid w:val="00151EC3"/>
    <w:rsid w:val="001520DA"/>
    <w:rsid w:val="001533BF"/>
    <w:rsid w:val="001534CB"/>
    <w:rsid w:val="00153D4F"/>
    <w:rsid w:val="001543A5"/>
    <w:rsid w:val="001561CC"/>
    <w:rsid w:val="001563B0"/>
    <w:rsid w:val="001624AE"/>
    <w:rsid w:val="001626E7"/>
    <w:rsid w:val="00164777"/>
    <w:rsid w:val="001652A3"/>
    <w:rsid w:val="00166D15"/>
    <w:rsid w:val="00167639"/>
    <w:rsid w:val="0017263D"/>
    <w:rsid w:val="001731A0"/>
    <w:rsid w:val="00173735"/>
    <w:rsid w:val="001743B6"/>
    <w:rsid w:val="00174B39"/>
    <w:rsid w:val="00175079"/>
    <w:rsid w:val="00175641"/>
    <w:rsid w:val="00175B72"/>
    <w:rsid w:val="001770AF"/>
    <w:rsid w:val="001774D1"/>
    <w:rsid w:val="001812A9"/>
    <w:rsid w:val="00181477"/>
    <w:rsid w:val="001814D3"/>
    <w:rsid w:val="001828BD"/>
    <w:rsid w:val="00183858"/>
    <w:rsid w:val="00184220"/>
    <w:rsid w:val="00184CD8"/>
    <w:rsid w:val="001853E3"/>
    <w:rsid w:val="0018559E"/>
    <w:rsid w:val="00185F9B"/>
    <w:rsid w:val="001873A6"/>
    <w:rsid w:val="0019111E"/>
    <w:rsid w:val="001924E7"/>
    <w:rsid w:val="00192EE3"/>
    <w:rsid w:val="00193310"/>
    <w:rsid w:val="00194B98"/>
    <w:rsid w:val="00197231"/>
    <w:rsid w:val="0019770A"/>
    <w:rsid w:val="00197DA3"/>
    <w:rsid w:val="001A1A6C"/>
    <w:rsid w:val="001A2D47"/>
    <w:rsid w:val="001A3682"/>
    <w:rsid w:val="001A4EAB"/>
    <w:rsid w:val="001A694B"/>
    <w:rsid w:val="001A6CEA"/>
    <w:rsid w:val="001A7214"/>
    <w:rsid w:val="001B0223"/>
    <w:rsid w:val="001B11B3"/>
    <w:rsid w:val="001B4574"/>
    <w:rsid w:val="001B480E"/>
    <w:rsid w:val="001B4C4B"/>
    <w:rsid w:val="001B55B8"/>
    <w:rsid w:val="001B72EE"/>
    <w:rsid w:val="001B7F15"/>
    <w:rsid w:val="001C066F"/>
    <w:rsid w:val="001C0A9C"/>
    <w:rsid w:val="001C0E77"/>
    <w:rsid w:val="001C107E"/>
    <w:rsid w:val="001C14BE"/>
    <w:rsid w:val="001C1553"/>
    <w:rsid w:val="001C3313"/>
    <w:rsid w:val="001C5CF6"/>
    <w:rsid w:val="001C710B"/>
    <w:rsid w:val="001C7870"/>
    <w:rsid w:val="001D05CA"/>
    <w:rsid w:val="001D107A"/>
    <w:rsid w:val="001D23F9"/>
    <w:rsid w:val="001D31F4"/>
    <w:rsid w:val="001D46A4"/>
    <w:rsid w:val="001D53A5"/>
    <w:rsid w:val="001D652E"/>
    <w:rsid w:val="001D7572"/>
    <w:rsid w:val="001D7991"/>
    <w:rsid w:val="001D7BF0"/>
    <w:rsid w:val="001D7F15"/>
    <w:rsid w:val="001E0978"/>
    <w:rsid w:val="001E1032"/>
    <w:rsid w:val="001E1958"/>
    <w:rsid w:val="001E1C91"/>
    <w:rsid w:val="001E216B"/>
    <w:rsid w:val="001E371D"/>
    <w:rsid w:val="001E3EE6"/>
    <w:rsid w:val="001E3FFC"/>
    <w:rsid w:val="001E42AA"/>
    <w:rsid w:val="001E4C70"/>
    <w:rsid w:val="001E56BE"/>
    <w:rsid w:val="001E5C33"/>
    <w:rsid w:val="001E6FF7"/>
    <w:rsid w:val="001E7395"/>
    <w:rsid w:val="001E7985"/>
    <w:rsid w:val="001F2E6D"/>
    <w:rsid w:val="001F3060"/>
    <w:rsid w:val="001F375E"/>
    <w:rsid w:val="001F445C"/>
    <w:rsid w:val="001F632A"/>
    <w:rsid w:val="001F71CD"/>
    <w:rsid w:val="001F7807"/>
    <w:rsid w:val="001F7EA9"/>
    <w:rsid w:val="00200EA7"/>
    <w:rsid w:val="0020169C"/>
    <w:rsid w:val="0020270C"/>
    <w:rsid w:val="00203038"/>
    <w:rsid w:val="002050C6"/>
    <w:rsid w:val="002054B9"/>
    <w:rsid w:val="0020624E"/>
    <w:rsid w:val="0021013D"/>
    <w:rsid w:val="002103EB"/>
    <w:rsid w:val="0021087F"/>
    <w:rsid w:val="0021091A"/>
    <w:rsid w:val="0021345E"/>
    <w:rsid w:val="00214B1B"/>
    <w:rsid w:val="00215AFA"/>
    <w:rsid w:val="00215D60"/>
    <w:rsid w:val="0021719D"/>
    <w:rsid w:val="00217343"/>
    <w:rsid w:val="002173BE"/>
    <w:rsid w:val="00217A93"/>
    <w:rsid w:val="00220359"/>
    <w:rsid w:val="00220856"/>
    <w:rsid w:val="00220D16"/>
    <w:rsid w:val="00222536"/>
    <w:rsid w:val="00222A91"/>
    <w:rsid w:val="00222E68"/>
    <w:rsid w:val="00225247"/>
    <w:rsid w:val="00225E86"/>
    <w:rsid w:val="00226AF7"/>
    <w:rsid w:val="00226BB8"/>
    <w:rsid w:val="002272D7"/>
    <w:rsid w:val="0022787E"/>
    <w:rsid w:val="00230580"/>
    <w:rsid w:val="00233107"/>
    <w:rsid w:val="00237925"/>
    <w:rsid w:val="002409F4"/>
    <w:rsid w:val="00240D69"/>
    <w:rsid w:val="00241B47"/>
    <w:rsid w:val="00247E3D"/>
    <w:rsid w:val="0025079A"/>
    <w:rsid w:val="0025297A"/>
    <w:rsid w:val="00253458"/>
    <w:rsid w:val="00254DD4"/>
    <w:rsid w:val="00254E04"/>
    <w:rsid w:val="00255AC2"/>
    <w:rsid w:val="00256015"/>
    <w:rsid w:val="00256CEE"/>
    <w:rsid w:val="00257D1A"/>
    <w:rsid w:val="00260456"/>
    <w:rsid w:val="002628F2"/>
    <w:rsid w:val="0026311B"/>
    <w:rsid w:val="00263155"/>
    <w:rsid w:val="002667CF"/>
    <w:rsid w:val="002678AA"/>
    <w:rsid w:val="00267F37"/>
    <w:rsid w:val="002701C0"/>
    <w:rsid w:val="002713E4"/>
    <w:rsid w:val="00271C2B"/>
    <w:rsid w:val="00272064"/>
    <w:rsid w:val="00272B05"/>
    <w:rsid w:val="002741E4"/>
    <w:rsid w:val="00281288"/>
    <w:rsid w:val="00281601"/>
    <w:rsid w:val="0028186C"/>
    <w:rsid w:val="00282F85"/>
    <w:rsid w:val="00283097"/>
    <w:rsid w:val="00283112"/>
    <w:rsid w:val="002839C4"/>
    <w:rsid w:val="00283C47"/>
    <w:rsid w:val="002844C6"/>
    <w:rsid w:val="002867E2"/>
    <w:rsid w:val="00287281"/>
    <w:rsid w:val="00287494"/>
    <w:rsid w:val="00290092"/>
    <w:rsid w:val="00291396"/>
    <w:rsid w:val="00291A0B"/>
    <w:rsid w:val="00292D35"/>
    <w:rsid w:val="002946FE"/>
    <w:rsid w:val="002951EA"/>
    <w:rsid w:val="00296702"/>
    <w:rsid w:val="002A02E7"/>
    <w:rsid w:val="002A099C"/>
    <w:rsid w:val="002A0C16"/>
    <w:rsid w:val="002A191F"/>
    <w:rsid w:val="002A1CF2"/>
    <w:rsid w:val="002A497F"/>
    <w:rsid w:val="002A4D37"/>
    <w:rsid w:val="002A5587"/>
    <w:rsid w:val="002A601A"/>
    <w:rsid w:val="002A6E5A"/>
    <w:rsid w:val="002A7453"/>
    <w:rsid w:val="002B2728"/>
    <w:rsid w:val="002B369B"/>
    <w:rsid w:val="002B38B7"/>
    <w:rsid w:val="002B5243"/>
    <w:rsid w:val="002B5610"/>
    <w:rsid w:val="002B6D57"/>
    <w:rsid w:val="002B6ED2"/>
    <w:rsid w:val="002C074E"/>
    <w:rsid w:val="002C1C38"/>
    <w:rsid w:val="002C2780"/>
    <w:rsid w:val="002C402E"/>
    <w:rsid w:val="002C5BD4"/>
    <w:rsid w:val="002C5FB7"/>
    <w:rsid w:val="002C764D"/>
    <w:rsid w:val="002D0BE4"/>
    <w:rsid w:val="002D187E"/>
    <w:rsid w:val="002D2459"/>
    <w:rsid w:val="002D25F9"/>
    <w:rsid w:val="002D2BB9"/>
    <w:rsid w:val="002D2CA6"/>
    <w:rsid w:val="002D36B1"/>
    <w:rsid w:val="002D4E0C"/>
    <w:rsid w:val="002D55F9"/>
    <w:rsid w:val="002D5B45"/>
    <w:rsid w:val="002D7438"/>
    <w:rsid w:val="002E0323"/>
    <w:rsid w:val="002E0C6A"/>
    <w:rsid w:val="002E1F1E"/>
    <w:rsid w:val="002E1FC8"/>
    <w:rsid w:val="002E3652"/>
    <w:rsid w:val="002E37D8"/>
    <w:rsid w:val="002E3BF7"/>
    <w:rsid w:val="002E5295"/>
    <w:rsid w:val="002E5320"/>
    <w:rsid w:val="002E536D"/>
    <w:rsid w:val="002E5511"/>
    <w:rsid w:val="002E6840"/>
    <w:rsid w:val="002E703A"/>
    <w:rsid w:val="002E7517"/>
    <w:rsid w:val="002F00C0"/>
    <w:rsid w:val="002F1383"/>
    <w:rsid w:val="002F4D80"/>
    <w:rsid w:val="002F4ECF"/>
    <w:rsid w:val="002F6281"/>
    <w:rsid w:val="002F631B"/>
    <w:rsid w:val="002F7926"/>
    <w:rsid w:val="002F7C34"/>
    <w:rsid w:val="00300FED"/>
    <w:rsid w:val="0030115A"/>
    <w:rsid w:val="0030331E"/>
    <w:rsid w:val="00305741"/>
    <w:rsid w:val="00306A5F"/>
    <w:rsid w:val="00310606"/>
    <w:rsid w:val="00312995"/>
    <w:rsid w:val="00314CBE"/>
    <w:rsid w:val="00314F19"/>
    <w:rsid w:val="00315698"/>
    <w:rsid w:val="003172A5"/>
    <w:rsid w:val="00320320"/>
    <w:rsid w:val="003215FD"/>
    <w:rsid w:val="00321F85"/>
    <w:rsid w:val="00322489"/>
    <w:rsid w:val="00322DC0"/>
    <w:rsid w:val="00322DD4"/>
    <w:rsid w:val="00324F5F"/>
    <w:rsid w:val="00325724"/>
    <w:rsid w:val="00325C23"/>
    <w:rsid w:val="00327D17"/>
    <w:rsid w:val="00330FE9"/>
    <w:rsid w:val="00331C46"/>
    <w:rsid w:val="00332DB7"/>
    <w:rsid w:val="00334425"/>
    <w:rsid w:val="00335850"/>
    <w:rsid w:val="00335997"/>
    <w:rsid w:val="00336F16"/>
    <w:rsid w:val="003377CD"/>
    <w:rsid w:val="00340390"/>
    <w:rsid w:val="00340BFE"/>
    <w:rsid w:val="003410CA"/>
    <w:rsid w:val="0034262B"/>
    <w:rsid w:val="0034284A"/>
    <w:rsid w:val="00342AF5"/>
    <w:rsid w:val="00342C51"/>
    <w:rsid w:val="0034386B"/>
    <w:rsid w:val="00343C8E"/>
    <w:rsid w:val="00343FAC"/>
    <w:rsid w:val="00344581"/>
    <w:rsid w:val="003447DA"/>
    <w:rsid w:val="00344F50"/>
    <w:rsid w:val="00345D3E"/>
    <w:rsid w:val="00346528"/>
    <w:rsid w:val="003472F9"/>
    <w:rsid w:val="00347334"/>
    <w:rsid w:val="003473FE"/>
    <w:rsid w:val="00351040"/>
    <w:rsid w:val="00352825"/>
    <w:rsid w:val="00353D80"/>
    <w:rsid w:val="003547FD"/>
    <w:rsid w:val="003562E4"/>
    <w:rsid w:val="00356311"/>
    <w:rsid w:val="00361376"/>
    <w:rsid w:val="00361E80"/>
    <w:rsid w:val="00363E69"/>
    <w:rsid w:val="00363FBB"/>
    <w:rsid w:val="00365027"/>
    <w:rsid w:val="0036550A"/>
    <w:rsid w:val="003674D9"/>
    <w:rsid w:val="00371572"/>
    <w:rsid w:val="003730FF"/>
    <w:rsid w:val="003757DA"/>
    <w:rsid w:val="0037617F"/>
    <w:rsid w:val="00380082"/>
    <w:rsid w:val="00381904"/>
    <w:rsid w:val="00382750"/>
    <w:rsid w:val="003831A6"/>
    <w:rsid w:val="00383557"/>
    <w:rsid w:val="003862CF"/>
    <w:rsid w:val="00387317"/>
    <w:rsid w:val="003900B7"/>
    <w:rsid w:val="00391148"/>
    <w:rsid w:val="00391C88"/>
    <w:rsid w:val="0039351C"/>
    <w:rsid w:val="0039389D"/>
    <w:rsid w:val="00394C75"/>
    <w:rsid w:val="00397008"/>
    <w:rsid w:val="003978F7"/>
    <w:rsid w:val="003A033B"/>
    <w:rsid w:val="003A03C6"/>
    <w:rsid w:val="003A0482"/>
    <w:rsid w:val="003A227E"/>
    <w:rsid w:val="003A3085"/>
    <w:rsid w:val="003A3FBB"/>
    <w:rsid w:val="003A46A9"/>
    <w:rsid w:val="003A5113"/>
    <w:rsid w:val="003A5282"/>
    <w:rsid w:val="003A5753"/>
    <w:rsid w:val="003A6362"/>
    <w:rsid w:val="003B12D5"/>
    <w:rsid w:val="003B13F3"/>
    <w:rsid w:val="003B20A2"/>
    <w:rsid w:val="003B3662"/>
    <w:rsid w:val="003B56D0"/>
    <w:rsid w:val="003B5747"/>
    <w:rsid w:val="003C0516"/>
    <w:rsid w:val="003C2249"/>
    <w:rsid w:val="003C3577"/>
    <w:rsid w:val="003C37EB"/>
    <w:rsid w:val="003C4622"/>
    <w:rsid w:val="003C5B7A"/>
    <w:rsid w:val="003C6C86"/>
    <w:rsid w:val="003C7121"/>
    <w:rsid w:val="003C72D8"/>
    <w:rsid w:val="003C768B"/>
    <w:rsid w:val="003D019B"/>
    <w:rsid w:val="003D18CB"/>
    <w:rsid w:val="003D1B20"/>
    <w:rsid w:val="003D2498"/>
    <w:rsid w:val="003D2669"/>
    <w:rsid w:val="003D2D00"/>
    <w:rsid w:val="003D2D65"/>
    <w:rsid w:val="003D361B"/>
    <w:rsid w:val="003D38EB"/>
    <w:rsid w:val="003D4348"/>
    <w:rsid w:val="003D45A6"/>
    <w:rsid w:val="003D55EE"/>
    <w:rsid w:val="003D786E"/>
    <w:rsid w:val="003E36B1"/>
    <w:rsid w:val="003E5564"/>
    <w:rsid w:val="003E574B"/>
    <w:rsid w:val="003E5EC9"/>
    <w:rsid w:val="003E5F66"/>
    <w:rsid w:val="003E6455"/>
    <w:rsid w:val="003E719E"/>
    <w:rsid w:val="003E787B"/>
    <w:rsid w:val="003F06F2"/>
    <w:rsid w:val="003F0A84"/>
    <w:rsid w:val="003F1E59"/>
    <w:rsid w:val="003F2BA9"/>
    <w:rsid w:val="003F397B"/>
    <w:rsid w:val="003F5657"/>
    <w:rsid w:val="003F6533"/>
    <w:rsid w:val="003F714C"/>
    <w:rsid w:val="00400F99"/>
    <w:rsid w:val="00404D54"/>
    <w:rsid w:val="00405388"/>
    <w:rsid w:val="004055FB"/>
    <w:rsid w:val="00405EA5"/>
    <w:rsid w:val="004060F4"/>
    <w:rsid w:val="00406E4C"/>
    <w:rsid w:val="00407207"/>
    <w:rsid w:val="00410797"/>
    <w:rsid w:val="004108D0"/>
    <w:rsid w:val="00411E9D"/>
    <w:rsid w:val="0041246C"/>
    <w:rsid w:val="00413DFE"/>
    <w:rsid w:val="0042010B"/>
    <w:rsid w:val="004235BD"/>
    <w:rsid w:val="00423689"/>
    <w:rsid w:val="00423A7D"/>
    <w:rsid w:val="00423AF6"/>
    <w:rsid w:val="00424F4A"/>
    <w:rsid w:val="0042529C"/>
    <w:rsid w:val="004270E4"/>
    <w:rsid w:val="00427E21"/>
    <w:rsid w:val="004311A5"/>
    <w:rsid w:val="00431DC4"/>
    <w:rsid w:val="00432140"/>
    <w:rsid w:val="0043262E"/>
    <w:rsid w:val="00434624"/>
    <w:rsid w:val="00434A60"/>
    <w:rsid w:val="00435EA4"/>
    <w:rsid w:val="00440231"/>
    <w:rsid w:val="00440753"/>
    <w:rsid w:val="00440F33"/>
    <w:rsid w:val="00441114"/>
    <w:rsid w:val="0044353D"/>
    <w:rsid w:val="00445D7D"/>
    <w:rsid w:val="00446902"/>
    <w:rsid w:val="00450549"/>
    <w:rsid w:val="00450AF2"/>
    <w:rsid w:val="00451090"/>
    <w:rsid w:val="00451A55"/>
    <w:rsid w:val="004527F9"/>
    <w:rsid w:val="00454988"/>
    <w:rsid w:val="004559AC"/>
    <w:rsid w:val="0045709E"/>
    <w:rsid w:val="0045713C"/>
    <w:rsid w:val="004578D0"/>
    <w:rsid w:val="00457C70"/>
    <w:rsid w:val="004600E6"/>
    <w:rsid w:val="0046246D"/>
    <w:rsid w:val="00463466"/>
    <w:rsid w:val="004636A0"/>
    <w:rsid w:val="00463ECE"/>
    <w:rsid w:val="00466902"/>
    <w:rsid w:val="00466F72"/>
    <w:rsid w:val="00467D33"/>
    <w:rsid w:val="00471843"/>
    <w:rsid w:val="00471938"/>
    <w:rsid w:val="00472978"/>
    <w:rsid w:val="004731DB"/>
    <w:rsid w:val="004732F7"/>
    <w:rsid w:val="00475494"/>
    <w:rsid w:val="004766D9"/>
    <w:rsid w:val="004768F1"/>
    <w:rsid w:val="00477EF8"/>
    <w:rsid w:val="00481EDB"/>
    <w:rsid w:val="0048216A"/>
    <w:rsid w:val="004832ED"/>
    <w:rsid w:val="0048543E"/>
    <w:rsid w:val="00487B83"/>
    <w:rsid w:val="00490283"/>
    <w:rsid w:val="00490C6D"/>
    <w:rsid w:val="00490CF2"/>
    <w:rsid w:val="00491AFD"/>
    <w:rsid w:val="004929EC"/>
    <w:rsid w:val="00493D64"/>
    <w:rsid w:val="00493DF2"/>
    <w:rsid w:val="00494C92"/>
    <w:rsid w:val="00496579"/>
    <w:rsid w:val="00496811"/>
    <w:rsid w:val="004A0A68"/>
    <w:rsid w:val="004A135A"/>
    <w:rsid w:val="004A2404"/>
    <w:rsid w:val="004A36C0"/>
    <w:rsid w:val="004A4D59"/>
    <w:rsid w:val="004B0257"/>
    <w:rsid w:val="004B05FD"/>
    <w:rsid w:val="004B1FA3"/>
    <w:rsid w:val="004B2CFA"/>
    <w:rsid w:val="004B33F8"/>
    <w:rsid w:val="004B344C"/>
    <w:rsid w:val="004B3EC3"/>
    <w:rsid w:val="004B597E"/>
    <w:rsid w:val="004B5C3A"/>
    <w:rsid w:val="004B604E"/>
    <w:rsid w:val="004B622D"/>
    <w:rsid w:val="004B688F"/>
    <w:rsid w:val="004B75BA"/>
    <w:rsid w:val="004B7CCA"/>
    <w:rsid w:val="004C05EC"/>
    <w:rsid w:val="004C06F6"/>
    <w:rsid w:val="004C2792"/>
    <w:rsid w:val="004C3284"/>
    <w:rsid w:val="004C3E0C"/>
    <w:rsid w:val="004C464C"/>
    <w:rsid w:val="004C4FBB"/>
    <w:rsid w:val="004C665F"/>
    <w:rsid w:val="004C7185"/>
    <w:rsid w:val="004C7FC2"/>
    <w:rsid w:val="004D0B62"/>
    <w:rsid w:val="004D25D9"/>
    <w:rsid w:val="004D308F"/>
    <w:rsid w:val="004D3887"/>
    <w:rsid w:val="004D3ADD"/>
    <w:rsid w:val="004D4513"/>
    <w:rsid w:val="004D4CA7"/>
    <w:rsid w:val="004D6462"/>
    <w:rsid w:val="004D6EB3"/>
    <w:rsid w:val="004D6F4E"/>
    <w:rsid w:val="004D721F"/>
    <w:rsid w:val="004D7409"/>
    <w:rsid w:val="004D7DBC"/>
    <w:rsid w:val="004E0096"/>
    <w:rsid w:val="004E11FA"/>
    <w:rsid w:val="004E1DD4"/>
    <w:rsid w:val="004E2BB6"/>
    <w:rsid w:val="004E3302"/>
    <w:rsid w:val="004E3E02"/>
    <w:rsid w:val="004E3F63"/>
    <w:rsid w:val="004E40F0"/>
    <w:rsid w:val="004E4209"/>
    <w:rsid w:val="004E5B9A"/>
    <w:rsid w:val="004E5F30"/>
    <w:rsid w:val="004E708B"/>
    <w:rsid w:val="004F1D85"/>
    <w:rsid w:val="004F23A6"/>
    <w:rsid w:val="004F2795"/>
    <w:rsid w:val="004F2EC1"/>
    <w:rsid w:val="004F3EBD"/>
    <w:rsid w:val="004F4B4A"/>
    <w:rsid w:val="004F6BE0"/>
    <w:rsid w:val="00501445"/>
    <w:rsid w:val="0050278D"/>
    <w:rsid w:val="005028EB"/>
    <w:rsid w:val="00502AA7"/>
    <w:rsid w:val="00502D4E"/>
    <w:rsid w:val="0050432A"/>
    <w:rsid w:val="005057B1"/>
    <w:rsid w:val="00506277"/>
    <w:rsid w:val="00506D0B"/>
    <w:rsid w:val="00507083"/>
    <w:rsid w:val="0050712A"/>
    <w:rsid w:val="005077BD"/>
    <w:rsid w:val="00507BE6"/>
    <w:rsid w:val="005106A5"/>
    <w:rsid w:val="00513BB8"/>
    <w:rsid w:val="00514045"/>
    <w:rsid w:val="00514AA2"/>
    <w:rsid w:val="005168FA"/>
    <w:rsid w:val="00516E03"/>
    <w:rsid w:val="0051705B"/>
    <w:rsid w:val="00517244"/>
    <w:rsid w:val="00520D2A"/>
    <w:rsid w:val="005211C9"/>
    <w:rsid w:val="00521D56"/>
    <w:rsid w:val="00524045"/>
    <w:rsid w:val="0052457B"/>
    <w:rsid w:val="00530484"/>
    <w:rsid w:val="00530744"/>
    <w:rsid w:val="005368C9"/>
    <w:rsid w:val="00536BD0"/>
    <w:rsid w:val="0053749E"/>
    <w:rsid w:val="00537E27"/>
    <w:rsid w:val="00540059"/>
    <w:rsid w:val="0054019F"/>
    <w:rsid w:val="00540CDC"/>
    <w:rsid w:val="0054300A"/>
    <w:rsid w:val="005444A1"/>
    <w:rsid w:val="00545DE4"/>
    <w:rsid w:val="00550165"/>
    <w:rsid w:val="00550311"/>
    <w:rsid w:val="005505D5"/>
    <w:rsid w:val="00550924"/>
    <w:rsid w:val="005511EA"/>
    <w:rsid w:val="00551C15"/>
    <w:rsid w:val="0055222D"/>
    <w:rsid w:val="00553727"/>
    <w:rsid w:val="00553C62"/>
    <w:rsid w:val="00554778"/>
    <w:rsid w:val="00554E36"/>
    <w:rsid w:val="00555184"/>
    <w:rsid w:val="00555D10"/>
    <w:rsid w:val="005560FA"/>
    <w:rsid w:val="00556199"/>
    <w:rsid w:val="00556E06"/>
    <w:rsid w:val="00556EA2"/>
    <w:rsid w:val="00557915"/>
    <w:rsid w:val="005606E3"/>
    <w:rsid w:val="00564C69"/>
    <w:rsid w:val="00566D17"/>
    <w:rsid w:val="005711EE"/>
    <w:rsid w:val="00574D9D"/>
    <w:rsid w:val="00575539"/>
    <w:rsid w:val="005755AA"/>
    <w:rsid w:val="005765DB"/>
    <w:rsid w:val="00577673"/>
    <w:rsid w:val="005808A6"/>
    <w:rsid w:val="0058115F"/>
    <w:rsid w:val="00581613"/>
    <w:rsid w:val="0058354D"/>
    <w:rsid w:val="0058446C"/>
    <w:rsid w:val="00584DE1"/>
    <w:rsid w:val="005857AD"/>
    <w:rsid w:val="005866CF"/>
    <w:rsid w:val="00586B91"/>
    <w:rsid w:val="00586E24"/>
    <w:rsid w:val="005873F1"/>
    <w:rsid w:val="005878F7"/>
    <w:rsid w:val="00587C80"/>
    <w:rsid w:val="00587D96"/>
    <w:rsid w:val="005902EF"/>
    <w:rsid w:val="0059055B"/>
    <w:rsid w:val="00590C97"/>
    <w:rsid w:val="005920C0"/>
    <w:rsid w:val="005928B5"/>
    <w:rsid w:val="005947B5"/>
    <w:rsid w:val="005950B8"/>
    <w:rsid w:val="005954BB"/>
    <w:rsid w:val="00595B1F"/>
    <w:rsid w:val="00597234"/>
    <w:rsid w:val="0059733A"/>
    <w:rsid w:val="005A045F"/>
    <w:rsid w:val="005A2988"/>
    <w:rsid w:val="005A2C7F"/>
    <w:rsid w:val="005A3511"/>
    <w:rsid w:val="005A600C"/>
    <w:rsid w:val="005A66D9"/>
    <w:rsid w:val="005A6938"/>
    <w:rsid w:val="005A7876"/>
    <w:rsid w:val="005B1EDA"/>
    <w:rsid w:val="005B222F"/>
    <w:rsid w:val="005B301A"/>
    <w:rsid w:val="005B45F8"/>
    <w:rsid w:val="005B4EC9"/>
    <w:rsid w:val="005B565E"/>
    <w:rsid w:val="005B69E7"/>
    <w:rsid w:val="005B7A0E"/>
    <w:rsid w:val="005C009A"/>
    <w:rsid w:val="005C05E5"/>
    <w:rsid w:val="005C1153"/>
    <w:rsid w:val="005C11CE"/>
    <w:rsid w:val="005C3ECE"/>
    <w:rsid w:val="005C41DD"/>
    <w:rsid w:val="005C4366"/>
    <w:rsid w:val="005C5358"/>
    <w:rsid w:val="005C6188"/>
    <w:rsid w:val="005C63EF"/>
    <w:rsid w:val="005C6638"/>
    <w:rsid w:val="005C66D8"/>
    <w:rsid w:val="005C7624"/>
    <w:rsid w:val="005C7D99"/>
    <w:rsid w:val="005D051B"/>
    <w:rsid w:val="005D1278"/>
    <w:rsid w:val="005D2104"/>
    <w:rsid w:val="005D260D"/>
    <w:rsid w:val="005D4EE8"/>
    <w:rsid w:val="005D503C"/>
    <w:rsid w:val="005D5074"/>
    <w:rsid w:val="005D60B4"/>
    <w:rsid w:val="005D64D4"/>
    <w:rsid w:val="005D795D"/>
    <w:rsid w:val="005E0ACB"/>
    <w:rsid w:val="005E1E88"/>
    <w:rsid w:val="005E2062"/>
    <w:rsid w:val="005E3A51"/>
    <w:rsid w:val="005E43C0"/>
    <w:rsid w:val="005E46D0"/>
    <w:rsid w:val="005E4930"/>
    <w:rsid w:val="005E59B0"/>
    <w:rsid w:val="005E7E4E"/>
    <w:rsid w:val="005F1048"/>
    <w:rsid w:val="005F120F"/>
    <w:rsid w:val="005F1C2C"/>
    <w:rsid w:val="005F1DF0"/>
    <w:rsid w:val="005F20A3"/>
    <w:rsid w:val="005F2348"/>
    <w:rsid w:val="005F4457"/>
    <w:rsid w:val="005F5690"/>
    <w:rsid w:val="005F61CC"/>
    <w:rsid w:val="005F63FB"/>
    <w:rsid w:val="005F6A3E"/>
    <w:rsid w:val="005F6CC3"/>
    <w:rsid w:val="005F74C6"/>
    <w:rsid w:val="00600F90"/>
    <w:rsid w:val="00601551"/>
    <w:rsid w:val="006015AA"/>
    <w:rsid w:val="00602117"/>
    <w:rsid w:val="006022CD"/>
    <w:rsid w:val="00603270"/>
    <w:rsid w:val="00603FC1"/>
    <w:rsid w:val="00604650"/>
    <w:rsid w:val="006061EC"/>
    <w:rsid w:val="00606F9F"/>
    <w:rsid w:val="006072AB"/>
    <w:rsid w:val="00611D5F"/>
    <w:rsid w:val="00612CC7"/>
    <w:rsid w:val="0061416C"/>
    <w:rsid w:val="006141B1"/>
    <w:rsid w:val="00614BAE"/>
    <w:rsid w:val="00615B3F"/>
    <w:rsid w:val="006161D0"/>
    <w:rsid w:val="0062241A"/>
    <w:rsid w:val="00623223"/>
    <w:rsid w:val="00623E8B"/>
    <w:rsid w:val="00623F33"/>
    <w:rsid w:val="00631EE5"/>
    <w:rsid w:val="006336DF"/>
    <w:rsid w:val="00633902"/>
    <w:rsid w:val="00634242"/>
    <w:rsid w:val="00636191"/>
    <w:rsid w:val="006376A8"/>
    <w:rsid w:val="00640D80"/>
    <w:rsid w:val="006422AA"/>
    <w:rsid w:val="00642B5F"/>
    <w:rsid w:val="00642EAD"/>
    <w:rsid w:val="0064360E"/>
    <w:rsid w:val="00643F56"/>
    <w:rsid w:val="006441C7"/>
    <w:rsid w:val="00644D92"/>
    <w:rsid w:val="00644EE4"/>
    <w:rsid w:val="0064664C"/>
    <w:rsid w:val="0065062B"/>
    <w:rsid w:val="00650B5A"/>
    <w:rsid w:val="00652D5D"/>
    <w:rsid w:val="006535A3"/>
    <w:rsid w:val="0065491E"/>
    <w:rsid w:val="00654B9E"/>
    <w:rsid w:val="00657C3F"/>
    <w:rsid w:val="00657DDF"/>
    <w:rsid w:val="00657F0C"/>
    <w:rsid w:val="006600B6"/>
    <w:rsid w:val="00661801"/>
    <w:rsid w:val="00663C2C"/>
    <w:rsid w:val="00663EFD"/>
    <w:rsid w:val="006642E4"/>
    <w:rsid w:val="00664D07"/>
    <w:rsid w:val="00664E37"/>
    <w:rsid w:val="00664F1B"/>
    <w:rsid w:val="006658B3"/>
    <w:rsid w:val="00665E50"/>
    <w:rsid w:val="006665AC"/>
    <w:rsid w:val="00666A49"/>
    <w:rsid w:val="006711A6"/>
    <w:rsid w:val="00672CED"/>
    <w:rsid w:val="006736A6"/>
    <w:rsid w:val="006751DE"/>
    <w:rsid w:val="00675640"/>
    <w:rsid w:val="0067729E"/>
    <w:rsid w:val="006777F6"/>
    <w:rsid w:val="00677A79"/>
    <w:rsid w:val="00680D08"/>
    <w:rsid w:val="00682614"/>
    <w:rsid w:val="0068327A"/>
    <w:rsid w:val="00683570"/>
    <w:rsid w:val="00685276"/>
    <w:rsid w:val="006861E8"/>
    <w:rsid w:val="006874E6"/>
    <w:rsid w:val="00690E96"/>
    <w:rsid w:val="006915E8"/>
    <w:rsid w:val="00691DAF"/>
    <w:rsid w:val="006924FA"/>
    <w:rsid w:val="006927C0"/>
    <w:rsid w:val="006932AD"/>
    <w:rsid w:val="006940B4"/>
    <w:rsid w:val="00694892"/>
    <w:rsid w:val="00695B72"/>
    <w:rsid w:val="006966C2"/>
    <w:rsid w:val="00696AAC"/>
    <w:rsid w:val="006A034F"/>
    <w:rsid w:val="006A0ECB"/>
    <w:rsid w:val="006A1CA6"/>
    <w:rsid w:val="006A2303"/>
    <w:rsid w:val="006A3A29"/>
    <w:rsid w:val="006A4D67"/>
    <w:rsid w:val="006A5059"/>
    <w:rsid w:val="006A7689"/>
    <w:rsid w:val="006B0C1B"/>
    <w:rsid w:val="006B18A4"/>
    <w:rsid w:val="006B1F46"/>
    <w:rsid w:val="006B24CA"/>
    <w:rsid w:val="006B26B6"/>
    <w:rsid w:val="006B3CFF"/>
    <w:rsid w:val="006B5A0A"/>
    <w:rsid w:val="006C0027"/>
    <w:rsid w:val="006C0A04"/>
    <w:rsid w:val="006C28AF"/>
    <w:rsid w:val="006C34E9"/>
    <w:rsid w:val="006C3A06"/>
    <w:rsid w:val="006C3E70"/>
    <w:rsid w:val="006C59DD"/>
    <w:rsid w:val="006C7F29"/>
    <w:rsid w:val="006D0DE3"/>
    <w:rsid w:val="006D0F05"/>
    <w:rsid w:val="006D155A"/>
    <w:rsid w:val="006D1A24"/>
    <w:rsid w:val="006D44D2"/>
    <w:rsid w:val="006D46DD"/>
    <w:rsid w:val="006D549A"/>
    <w:rsid w:val="006D5601"/>
    <w:rsid w:val="006D6075"/>
    <w:rsid w:val="006D610D"/>
    <w:rsid w:val="006D64EB"/>
    <w:rsid w:val="006E0909"/>
    <w:rsid w:val="006E2F47"/>
    <w:rsid w:val="006E305B"/>
    <w:rsid w:val="006E3DAD"/>
    <w:rsid w:val="006E5459"/>
    <w:rsid w:val="006E5D2D"/>
    <w:rsid w:val="006E5D9E"/>
    <w:rsid w:val="006E63DA"/>
    <w:rsid w:val="006F03A3"/>
    <w:rsid w:val="006F1E39"/>
    <w:rsid w:val="006F2E0F"/>
    <w:rsid w:val="006F4106"/>
    <w:rsid w:val="006F4B4A"/>
    <w:rsid w:val="006F4E1F"/>
    <w:rsid w:val="006F6DD7"/>
    <w:rsid w:val="006F736C"/>
    <w:rsid w:val="00700FA4"/>
    <w:rsid w:val="007029F8"/>
    <w:rsid w:val="00703E18"/>
    <w:rsid w:val="00707B4A"/>
    <w:rsid w:val="007106E3"/>
    <w:rsid w:val="00712B20"/>
    <w:rsid w:val="00713BE2"/>
    <w:rsid w:val="00715C53"/>
    <w:rsid w:val="00716B6C"/>
    <w:rsid w:val="007179D2"/>
    <w:rsid w:val="0072014E"/>
    <w:rsid w:val="00720194"/>
    <w:rsid w:val="007204A8"/>
    <w:rsid w:val="0072129E"/>
    <w:rsid w:val="0072229A"/>
    <w:rsid w:val="007234EC"/>
    <w:rsid w:val="00724FBE"/>
    <w:rsid w:val="00725BBA"/>
    <w:rsid w:val="00726937"/>
    <w:rsid w:val="00726AEF"/>
    <w:rsid w:val="00726E39"/>
    <w:rsid w:val="00727C0F"/>
    <w:rsid w:val="00730454"/>
    <w:rsid w:val="007306FD"/>
    <w:rsid w:val="00731162"/>
    <w:rsid w:val="00731AF1"/>
    <w:rsid w:val="0073507B"/>
    <w:rsid w:val="00735E1A"/>
    <w:rsid w:val="007360AB"/>
    <w:rsid w:val="00737603"/>
    <w:rsid w:val="007377B9"/>
    <w:rsid w:val="007437B9"/>
    <w:rsid w:val="00743BBE"/>
    <w:rsid w:val="007440CB"/>
    <w:rsid w:val="00744FA4"/>
    <w:rsid w:val="00745249"/>
    <w:rsid w:val="00746F87"/>
    <w:rsid w:val="00747071"/>
    <w:rsid w:val="007478CE"/>
    <w:rsid w:val="00750048"/>
    <w:rsid w:val="00750EEF"/>
    <w:rsid w:val="00752180"/>
    <w:rsid w:val="007523E1"/>
    <w:rsid w:val="00753365"/>
    <w:rsid w:val="0075359A"/>
    <w:rsid w:val="00753BBB"/>
    <w:rsid w:val="00753BE1"/>
    <w:rsid w:val="007540FE"/>
    <w:rsid w:val="0075440F"/>
    <w:rsid w:val="007552F8"/>
    <w:rsid w:val="007564AD"/>
    <w:rsid w:val="00762485"/>
    <w:rsid w:val="00762F05"/>
    <w:rsid w:val="007637BA"/>
    <w:rsid w:val="00763E08"/>
    <w:rsid w:val="0076464F"/>
    <w:rsid w:val="00767474"/>
    <w:rsid w:val="00767EE6"/>
    <w:rsid w:val="00771587"/>
    <w:rsid w:val="00772086"/>
    <w:rsid w:val="007742D1"/>
    <w:rsid w:val="007766AE"/>
    <w:rsid w:val="0077782F"/>
    <w:rsid w:val="00780651"/>
    <w:rsid w:val="00780BE8"/>
    <w:rsid w:val="0078133B"/>
    <w:rsid w:val="00781B4B"/>
    <w:rsid w:val="00781FC9"/>
    <w:rsid w:val="00782623"/>
    <w:rsid w:val="00784B6D"/>
    <w:rsid w:val="00785233"/>
    <w:rsid w:val="0078548D"/>
    <w:rsid w:val="00785733"/>
    <w:rsid w:val="00786F84"/>
    <w:rsid w:val="00787020"/>
    <w:rsid w:val="007907C6"/>
    <w:rsid w:val="00790E4C"/>
    <w:rsid w:val="00791124"/>
    <w:rsid w:val="00791863"/>
    <w:rsid w:val="007918C7"/>
    <w:rsid w:val="00793407"/>
    <w:rsid w:val="00794A48"/>
    <w:rsid w:val="007961D5"/>
    <w:rsid w:val="007A1C1A"/>
    <w:rsid w:val="007A21C8"/>
    <w:rsid w:val="007A31DD"/>
    <w:rsid w:val="007A35F6"/>
    <w:rsid w:val="007A6EB3"/>
    <w:rsid w:val="007A7781"/>
    <w:rsid w:val="007A7908"/>
    <w:rsid w:val="007B03BB"/>
    <w:rsid w:val="007B340E"/>
    <w:rsid w:val="007B478C"/>
    <w:rsid w:val="007B4A89"/>
    <w:rsid w:val="007B5081"/>
    <w:rsid w:val="007B589B"/>
    <w:rsid w:val="007B58D8"/>
    <w:rsid w:val="007B6029"/>
    <w:rsid w:val="007C0AD3"/>
    <w:rsid w:val="007C12BF"/>
    <w:rsid w:val="007C12E8"/>
    <w:rsid w:val="007C27E9"/>
    <w:rsid w:val="007C29D9"/>
    <w:rsid w:val="007C2A32"/>
    <w:rsid w:val="007C2EF9"/>
    <w:rsid w:val="007C3A72"/>
    <w:rsid w:val="007C40C3"/>
    <w:rsid w:val="007C40C9"/>
    <w:rsid w:val="007C49A7"/>
    <w:rsid w:val="007C5349"/>
    <w:rsid w:val="007C5B69"/>
    <w:rsid w:val="007C5EFE"/>
    <w:rsid w:val="007C5F62"/>
    <w:rsid w:val="007C6E73"/>
    <w:rsid w:val="007D0A62"/>
    <w:rsid w:val="007D0DCE"/>
    <w:rsid w:val="007D1790"/>
    <w:rsid w:val="007D19EC"/>
    <w:rsid w:val="007D4293"/>
    <w:rsid w:val="007D5279"/>
    <w:rsid w:val="007D543F"/>
    <w:rsid w:val="007D548D"/>
    <w:rsid w:val="007D6517"/>
    <w:rsid w:val="007E06E4"/>
    <w:rsid w:val="007E0F12"/>
    <w:rsid w:val="007E260F"/>
    <w:rsid w:val="007E28BF"/>
    <w:rsid w:val="007E2CBC"/>
    <w:rsid w:val="007E2D4E"/>
    <w:rsid w:val="007E40B9"/>
    <w:rsid w:val="007E639E"/>
    <w:rsid w:val="007E65B0"/>
    <w:rsid w:val="007E7470"/>
    <w:rsid w:val="007F10B4"/>
    <w:rsid w:val="007F2B19"/>
    <w:rsid w:val="007F320D"/>
    <w:rsid w:val="007F533F"/>
    <w:rsid w:val="007F5380"/>
    <w:rsid w:val="007F5C91"/>
    <w:rsid w:val="007F5F7F"/>
    <w:rsid w:val="007F6F68"/>
    <w:rsid w:val="0080020D"/>
    <w:rsid w:val="008022AD"/>
    <w:rsid w:val="008031C7"/>
    <w:rsid w:val="008031D2"/>
    <w:rsid w:val="00803517"/>
    <w:rsid w:val="008053C6"/>
    <w:rsid w:val="00807FE5"/>
    <w:rsid w:val="008102B4"/>
    <w:rsid w:val="00810378"/>
    <w:rsid w:val="00810774"/>
    <w:rsid w:val="00810C65"/>
    <w:rsid w:val="00811513"/>
    <w:rsid w:val="00811D6B"/>
    <w:rsid w:val="0081216F"/>
    <w:rsid w:val="00812689"/>
    <w:rsid w:val="00813C24"/>
    <w:rsid w:val="008142DD"/>
    <w:rsid w:val="0081453D"/>
    <w:rsid w:val="0081596E"/>
    <w:rsid w:val="00816FBE"/>
    <w:rsid w:val="008176B9"/>
    <w:rsid w:val="008217BA"/>
    <w:rsid w:val="008223ED"/>
    <w:rsid w:val="00822A5B"/>
    <w:rsid w:val="00823165"/>
    <w:rsid w:val="0082410D"/>
    <w:rsid w:val="00825D1A"/>
    <w:rsid w:val="00827125"/>
    <w:rsid w:val="008316B9"/>
    <w:rsid w:val="00831BEA"/>
    <w:rsid w:val="00832651"/>
    <w:rsid w:val="00833420"/>
    <w:rsid w:val="00833D7A"/>
    <w:rsid w:val="00834645"/>
    <w:rsid w:val="0083582E"/>
    <w:rsid w:val="00837030"/>
    <w:rsid w:val="00840CCB"/>
    <w:rsid w:val="00841BCE"/>
    <w:rsid w:val="00841E1B"/>
    <w:rsid w:val="0084262D"/>
    <w:rsid w:val="00842A8A"/>
    <w:rsid w:val="00843008"/>
    <w:rsid w:val="008433FA"/>
    <w:rsid w:val="00843D83"/>
    <w:rsid w:val="00843E70"/>
    <w:rsid w:val="00845493"/>
    <w:rsid w:val="00850293"/>
    <w:rsid w:val="00850E15"/>
    <w:rsid w:val="00852B9B"/>
    <w:rsid w:val="0085336A"/>
    <w:rsid w:val="00853C10"/>
    <w:rsid w:val="00854117"/>
    <w:rsid w:val="00861014"/>
    <w:rsid w:val="008611AF"/>
    <w:rsid w:val="008630A4"/>
    <w:rsid w:val="008632A3"/>
    <w:rsid w:val="0086358C"/>
    <w:rsid w:val="008644A1"/>
    <w:rsid w:val="00864F0D"/>
    <w:rsid w:val="0086561E"/>
    <w:rsid w:val="00865DF6"/>
    <w:rsid w:val="008674ED"/>
    <w:rsid w:val="00867ED0"/>
    <w:rsid w:val="00871CC7"/>
    <w:rsid w:val="00873958"/>
    <w:rsid w:val="0087426D"/>
    <w:rsid w:val="00874442"/>
    <w:rsid w:val="00874767"/>
    <w:rsid w:val="00874858"/>
    <w:rsid w:val="0087574A"/>
    <w:rsid w:val="00875BD8"/>
    <w:rsid w:val="00876E35"/>
    <w:rsid w:val="008779C8"/>
    <w:rsid w:val="0088047D"/>
    <w:rsid w:val="0088377F"/>
    <w:rsid w:val="00883E40"/>
    <w:rsid w:val="00884119"/>
    <w:rsid w:val="00884C67"/>
    <w:rsid w:val="00885300"/>
    <w:rsid w:val="008860CE"/>
    <w:rsid w:val="00886991"/>
    <w:rsid w:val="00891704"/>
    <w:rsid w:val="00891AE4"/>
    <w:rsid w:val="008938A2"/>
    <w:rsid w:val="00896C4D"/>
    <w:rsid w:val="008977A4"/>
    <w:rsid w:val="00897D44"/>
    <w:rsid w:val="008A1E32"/>
    <w:rsid w:val="008A3205"/>
    <w:rsid w:val="008A3990"/>
    <w:rsid w:val="008A4811"/>
    <w:rsid w:val="008A4B87"/>
    <w:rsid w:val="008A5941"/>
    <w:rsid w:val="008A788D"/>
    <w:rsid w:val="008B3CAC"/>
    <w:rsid w:val="008B4348"/>
    <w:rsid w:val="008B43B0"/>
    <w:rsid w:val="008B47BF"/>
    <w:rsid w:val="008B4971"/>
    <w:rsid w:val="008B4BE2"/>
    <w:rsid w:val="008B4DEA"/>
    <w:rsid w:val="008B74BB"/>
    <w:rsid w:val="008B7F61"/>
    <w:rsid w:val="008C0E45"/>
    <w:rsid w:val="008C10FE"/>
    <w:rsid w:val="008C27BA"/>
    <w:rsid w:val="008C2807"/>
    <w:rsid w:val="008C291D"/>
    <w:rsid w:val="008C3056"/>
    <w:rsid w:val="008C4586"/>
    <w:rsid w:val="008C5686"/>
    <w:rsid w:val="008C5A6E"/>
    <w:rsid w:val="008C5BC6"/>
    <w:rsid w:val="008C65D3"/>
    <w:rsid w:val="008C6851"/>
    <w:rsid w:val="008D244F"/>
    <w:rsid w:val="008D2584"/>
    <w:rsid w:val="008D2D0E"/>
    <w:rsid w:val="008D340D"/>
    <w:rsid w:val="008D4E22"/>
    <w:rsid w:val="008D7733"/>
    <w:rsid w:val="008D7B07"/>
    <w:rsid w:val="008D7EFC"/>
    <w:rsid w:val="008E037D"/>
    <w:rsid w:val="008E159E"/>
    <w:rsid w:val="008E2470"/>
    <w:rsid w:val="008E30BF"/>
    <w:rsid w:val="008E44EE"/>
    <w:rsid w:val="008E46B1"/>
    <w:rsid w:val="008E550A"/>
    <w:rsid w:val="008E7EA3"/>
    <w:rsid w:val="008F0BCA"/>
    <w:rsid w:val="008F0C33"/>
    <w:rsid w:val="008F1105"/>
    <w:rsid w:val="008F204F"/>
    <w:rsid w:val="008F31D5"/>
    <w:rsid w:val="008F36B3"/>
    <w:rsid w:val="008F3D42"/>
    <w:rsid w:val="008F47AD"/>
    <w:rsid w:val="008F4A07"/>
    <w:rsid w:val="008F573C"/>
    <w:rsid w:val="008F6111"/>
    <w:rsid w:val="008F6C82"/>
    <w:rsid w:val="00900395"/>
    <w:rsid w:val="0090101E"/>
    <w:rsid w:val="00901233"/>
    <w:rsid w:val="00901E8E"/>
    <w:rsid w:val="00902028"/>
    <w:rsid w:val="00902EB9"/>
    <w:rsid w:val="009034D2"/>
    <w:rsid w:val="009051BD"/>
    <w:rsid w:val="00906F4D"/>
    <w:rsid w:val="00910623"/>
    <w:rsid w:val="00911660"/>
    <w:rsid w:val="00914605"/>
    <w:rsid w:val="00915147"/>
    <w:rsid w:val="00916EF6"/>
    <w:rsid w:val="00920450"/>
    <w:rsid w:val="00922604"/>
    <w:rsid w:val="00922900"/>
    <w:rsid w:val="00922DE2"/>
    <w:rsid w:val="00924627"/>
    <w:rsid w:val="00925B00"/>
    <w:rsid w:val="0092660B"/>
    <w:rsid w:val="00926E8B"/>
    <w:rsid w:val="0093161F"/>
    <w:rsid w:val="00932105"/>
    <w:rsid w:val="009323B9"/>
    <w:rsid w:val="00933AD6"/>
    <w:rsid w:val="009405C2"/>
    <w:rsid w:val="009415CD"/>
    <w:rsid w:val="0094187F"/>
    <w:rsid w:val="00942513"/>
    <w:rsid w:val="009429BC"/>
    <w:rsid w:val="00943A77"/>
    <w:rsid w:val="00943B51"/>
    <w:rsid w:val="0094455E"/>
    <w:rsid w:val="00944FB2"/>
    <w:rsid w:val="00947904"/>
    <w:rsid w:val="00947AB7"/>
    <w:rsid w:val="00947E7D"/>
    <w:rsid w:val="00950E92"/>
    <w:rsid w:val="00950EF3"/>
    <w:rsid w:val="00951973"/>
    <w:rsid w:val="00951C17"/>
    <w:rsid w:val="00951C62"/>
    <w:rsid w:val="0095289E"/>
    <w:rsid w:val="00952B55"/>
    <w:rsid w:val="00953692"/>
    <w:rsid w:val="00956B2F"/>
    <w:rsid w:val="009602BE"/>
    <w:rsid w:val="0096183C"/>
    <w:rsid w:val="009621BE"/>
    <w:rsid w:val="00962855"/>
    <w:rsid w:val="00963603"/>
    <w:rsid w:val="00963D52"/>
    <w:rsid w:val="0096572C"/>
    <w:rsid w:val="0096752A"/>
    <w:rsid w:val="00967741"/>
    <w:rsid w:val="00970713"/>
    <w:rsid w:val="00970898"/>
    <w:rsid w:val="009709EA"/>
    <w:rsid w:val="00971DC3"/>
    <w:rsid w:val="00972125"/>
    <w:rsid w:val="0097238C"/>
    <w:rsid w:val="009725B0"/>
    <w:rsid w:val="00972D58"/>
    <w:rsid w:val="00973453"/>
    <w:rsid w:val="009734D2"/>
    <w:rsid w:val="00973E69"/>
    <w:rsid w:val="00973F7B"/>
    <w:rsid w:val="009747B4"/>
    <w:rsid w:val="00975318"/>
    <w:rsid w:val="00976FB3"/>
    <w:rsid w:val="009771F5"/>
    <w:rsid w:val="00980522"/>
    <w:rsid w:val="0098056C"/>
    <w:rsid w:val="00980B69"/>
    <w:rsid w:val="00980FA0"/>
    <w:rsid w:val="0098218F"/>
    <w:rsid w:val="00982F8B"/>
    <w:rsid w:val="009836C1"/>
    <w:rsid w:val="00983DD3"/>
    <w:rsid w:val="00984CEE"/>
    <w:rsid w:val="00986152"/>
    <w:rsid w:val="00986271"/>
    <w:rsid w:val="00986739"/>
    <w:rsid w:val="00987390"/>
    <w:rsid w:val="00987CF4"/>
    <w:rsid w:val="0099146B"/>
    <w:rsid w:val="009929BE"/>
    <w:rsid w:val="009946AA"/>
    <w:rsid w:val="00994F41"/>
    <w:rsid w:val="0099641C"/>
    <w:rsid w:val="0099743A"/>
    <w:rsid w:val="0099754E"/>
    <w:rsid w:val="00997C61"/>
    <w:rsid w:val="009A0324"/>
    <w:rsid w:val="009A21AF"/>
    <w:rsid w:val="009A2531"/>
    <w:rsid w:val="009A28D2"/>
    <w:rsid w:val="009A3003"/>
    <w:rsid w:val="009A41B2"/>
    <w:rsid w:val="009A4E85"/>
    <w:rsid w:val="009A4EB7"/>
    <w:rsid w:val="009A75A9"/>
    <w:rsid w:val="009A775A"/>
    <w:rsid w:val="009A7DEA"/>
    <w:rsid w:val="009B08E1"/>
    <w:rsid w:val="009B1647"/>
    <w:rsid w:val="009B3125"/>
    <w:rsid w:val="009B3851"/>
    <w:rsid w:val="009B4940"/>
    <w:rsid w:val="009B537A"/>
    <w:rsid w:val="009B58C1"/>
    <w:rsid w:val="009B6185"/>
    <w:rsid w:val="009C0B48"/>
    <w:rsid w:val="009C147C"/>
    <w:rsid w:val="009C26B6"/>
    <w:rsid w:val="009C3109"/>
    <w:rsid w:val="009C36A0"/>
    <w:rsid w:val="009C3FCF"/>
    <w:rsid w:val="009C4B51"/>
    <w:rsid w:val="009C5094"/>
    <w:rsid w:val="009C5C3C"/>
    <w:rsid w:val="009C615B"/>
    <w:rsid w:val="009C6844"/>
    <w:rsid w:val="009C6D32"/>
    <w:rsid w:val="009D01DC"/>
    <w:rsid w:val="009D1BC7"/>
    <w:rsid w:val="009D2CF8"/>
    <w:rsid w:val="009D55E9"/>
    <w:rsid w:val="009D6DFD"/>
    <w:rsid w:val="009D7610"/>
    <w:rsid w:val="009E15FC"/>
    <w:rsid w:val="009E262F"/>
    <w:rsid w:val="009E2720"/>
    <w:rsid w:val="009E2913"/>
    <w:rsid w:val="009E34D6"/>
    <w:rsid w:val="009E3F08"/>
    <w:rsid w:val="009E454F"/>
    <w:rsid w:val="009E483C"/>
    <w:rsid w:val="009E5899"/>
    <w:rsid w:val="009E61AB"/>
    <w:rsid w:val="009E72FD"/>
    <w:rsid w:val="009F105A"/>
    <w:rsid w:val="009F40B3"/>
    <w:rsid w:val="009F47D1"/>
    <w:rsid w:val="009F4D14"/>
    <w:rsid w:val="009F4DB1"/>
    <w:rsid w:val="009F6358"/>
    <w:rsid w:val="00A00283"/>
    <w:rsid w:val="00A004FF"/>
    <w:rsid w:val="00A009B2"/>
    <w:rsid w:val="00A00FD1"/>
    <w:rsid w:val="00A01C55"/>
    <w:rsid w:val="00A0461B"/>
    <w:rsid w:val="00A04784"/>
    <w:rsid w:val="00A06090"/>
    <w:rsid w:val="00A06AB7"/>
    <w:rsid w:val="00A06DCC"/>
    <w:rsid w:val="00A07082"/>
    <w:rsid w:val="00A074E1"/>
    <w:rsid w:val="00A123CB"/>
    <w:rsid w:val="00A137D0"/>
    <w:rsid w:val="00A1472C"/>
    <w:rsid w:val="00A15557"/>
    <w:rsid w:val="00A15E60"/>
    <w:rsid w:val="00A174BF"/>
    <w:rsid w:val="00A20378"/>
    <w:rsid w:val="00A20681"/>
    <w:rsid w:val="00A20CAE"/>
    <w:rsid w:val="00A226C3"/>
    <w:rsid w:val="00A232C5"/>
    <w:rsid w:val="00A2382A"/>
    <w:rsid w:val="00A24A2E"/>
    <w:rsid w:val="00A26156"/>
    <w:rsid w:val="00A278BF"/>
    <w:rsid w:val="00A27957"/>
    <w:rsid w:val="00A31DD3"/>
    <w:rsid w:val="00A32F3B"/>
    <w:rsid w:val="00A33384"/>
    <w:rsid w:val="00A33A00"/>
    <w:rsid w:val="00A348E7"/>
    <w:rsid w:val="00A35009"/>
    <w:rsid w:val="00A35185"/>
    <w:rsid w:val="00A356D8"/>
    <w:rsid w:val="00A35910"/>
    <w:rsid w:val="00A36621"/>
    <w:rsid w:val="00A40516"/>
    <w:rsid w:val="00A40C42"/>
    <w:rsid w:val="00A40EE9"/>
    <w:rsid w:val="00A41912"/>
    <w:rsid w:val="00A42330"/>
    <w:rsid w:val="00A428E3"/>
    <w:rsid w:val="00A448CD"/>
    <w:rsid w:val="00A44EF6"/>
    <w:rsid w:val="00A470B5"/>
    <w:rsid w:val="00A47581"/>
    <w:rsid w:val="00A506C4"/>
    <w:rsid w:val="00A50B7A"/>
    <w:rsid w:val="00A56492"/>
    <w:rsid w:val="00A56A46"/>
    <w:rsid w:val="00A56BAD"/>
    <w:rsid w:val="00A57363"/>
    <w:rsid w:val="00A57B41"/>
    <w:rsid w:val="00A6054D"/>
    <w:rsid w:val="00A60B5D"/>
    <w:rsid w:val="00A60C59"/>
    <w:rsid w:val="00A60E34"/>
    <w:rsid w:val="00A62178"/>
    <w:rsid w:val="00A63A4E"/>
    <w:rsid w:val="00A64CF1"/>
    <w:rsid w:val="00A64DBB"/>
    <w:rsid w:val="00A65411"/>
    <w:rsid w:val="00A654AA"/>
    <w:rsid w:val="00A659D3"/>
    <w:rsid w:val="00A65C0C"/>
    <w:rsid w:val="00A661C7"/>
    <w:rsid w:val="00A72232"/>
    <w:rsid w:val="00A72A3D"/>
    <w:rsid w:val="00A738E1"/>
    <w:rsid w:val="00A73A3E"/>
    <w:rsid w:val="00A753E9"/>
    <w:rsid w:val="00A75D96"/>
    <w:rsid w:val="00A75E70"/>
    <w:rsid w:val="00A76151"/>
    <w:rsid w:val="00A8099E"/>
    <w:rsid w:val="00A80FCA"/>
    <w:rsid w:val="00A810A8"/>
    <w:rsid w:val="00A810C9"/>
    <w:rsid w:val="00A82696"/>
    <w:rsid w:val="00A85CA2"/>
    <w:rsid w:val="00A86C25"/>
    <w:rsid w:val="00A90644"/>
    <w:rsid w:val="00A908F9"/>
    <w:rsid w:val="00A91316"/>
    <w:rsid w:val="00A91551"/>
    <w:rsid w:val="00A92213"/>
    <w:rsid w:val="00A9299A"/>
    <w:rsid w:val="00A9359B"/>
    <w:rsid w:val="00A93670"/>
    <w:rsid w:val="00A93F9D"/>
    <w:rsid w:val="00A94485"/>
    <w:rsid w:val="00A9451F"/>
    <w:rsid w:val="00A94FA0"/>
    <w:rsid w:val="00A9696F"/>
    <w:rsid w:val="00A97605"/>
    <w:rsid w:val="00AA0B6B"/>
    <w:rsid w:val="00AA5573"/>
    <w:rsid w:val="00AA64ED"/>
    <w:rsid w:val="00AA6588"/>
    <w:rsid w:val="00AA68FD"/>
    <w:rsid w:val="00AA7085"/>
    <w:rsid w:val="00AA7BF5"/>
    <w:rsid w:val="00AB1DF6"/>
    <w:rsid w:val="00AB1F9B"/>
    <w:rsid w:val="00AB2E56"/>
    <w:rsid w:val="00AB3568"/>
    <w:rsid w:val="00AB3E15"/>
    <w:rsid w:val="00AB5169"/>
    <w:rsid w:val="00AB65F5"/>
    <w:rsid w:val="00AB6EBB"/>
    <w:rsid w:val="00AB739F"/>
    <w:rsid w:val="00AC35C7"/>
    <w:rsid w:val="00AC47C0"/>
    <w:rsid w:val="00AC4B3E"/>
    <w:rsid w:val="00AC4D2F"/>
    <w:rsid w:val="00AC524B"/>
    <w:rsid w:val="00AC6972"/>
    <w:rsid w:val="00AD2E5A"/>
    <w:rsid w:val="00AD35CF"/>
    <w:rsid w:val="00AD3E3B"/>
    <w:rsid w:val="00AD44A4"/>
    <w:rsid w:val="00AD79E1"/>
    <w:rsid w:val="00AD7A63"/>
    <w:rsid w:val="00AE1FBF"/>
    <w:rsid w:val="00AE448C"/>
    <w:rsid w:val="00AE4896"/>
    <w:rsid w:val="00AE48F6"/>
    <w:rsid w:val="00AE4ABA"/>
    <w:rsid w:val="00AE72BD"/>
    <w:rsid w:val="00AE769C"/>
    <w:rsid w:val="00AF0938"/>
    <w:rsid w:val="00AF19C3"/>
    <w:rsid w:val="00AF1C58"/>
    <w:rsid w:val="00AF257D"/>
    <w:rsid w:val="00AF3014"/>
    <w:rsid w:val="00AF379F"/>
    <w:rsid w:val="00AF44C1"/>
    <w:rsid w:val="00AF47F4"/>
    <w:rsid w:val="00AF4EAA"/>
    <w:rsid w:val="00AF4FDF"/>
    <w:rsid w:val="00B0279A"/>
    <w:rsid w:val="00B032EF"/>
    <w:rsid w:val="00B03D2D"/>
    <w:rsid w:val="00B04EFD"/>
    <w:rsid w:val="00B05E97"/>
    <w:rsid w:val="00B06304"/>
    <w:rsid w:val="00B06DF6"/>
    <w:rsid w:val="00B06FE1"/>
    <w:rsid w:val="00B10344"/>
    <w:rsid w:val="00B10470"/>
    <w:rsid w:val="00B109F1"/>
    <w:rsid w:val="00B10E75"/>
    <w:rsid w:val="00B12267"/>
    <w:rsid w:val="00B1287D"/>
    <w:rsid w:val="00B2001C"/>
    <w:rsid w:val="00B213B8"/>
    <w:rsid w:val="00B22E35"/>
    <w:rsid w:val="00B25389"/>
    <w:rsid w:val="00B27DE5"/>
    <w:rsid w:val="00B3002E"/>
    <w:rsid w:val="00B30319"/>
    <w:rsid w:val="00B3228B"/>
    <w:rsid w:val="00B32487"/>
    <w:rsid w:val="00B35263"/>
    <w:rsid w:val="00B37477"/>
    <w:rsid w:val="00B37793"/>
    <w:rsid w:val="00B37E54"/>
    <w:rsid w:val="00B41568"/>
    <w:rsid w:val="00B42F3F"/>
    <w:rsid w:val="00B42FF0"/>
    <w:rsid w:val="00B447A7"/>
    <w:rsid w:val="00B455FE"/>
    <w:rsid w:val="00B47F51"/>
    <w:rsid w:val="00B50274"/>
    <w:rsid w:val="00B523A7"/>
    <w:rsid w:val="00B528C4"/>
    <w:rsid w:val="00B5342F"/>
    <w:rsid w:val="00B53619"/>
    <w:rsid w:val="00B551D8"/>
    <w:rsid w:val="00B55812"/>
    <w:rsid w:val="00B55D5F"/>
    <w:rsid w:val="00B565DB"/>
    <w:rsid w:val="00B6361B"/>
    <w:rsid w:val="00B6440C"/>
    <w:rsid w:val="00B7106D"/>
    <w:rsid w:val="00B71C4D"/>
    <w:rsid w:val="00B72EC0"/>
    <w:rsid w:val="00B72EDD"/>
    <w:rsid w:val="00B7309C"/>
    <w:rsid w:val="00B73A38"/>
    <w:rsid w:val="00B75E78"/>
    <w:rsid w:val="00B76B34"/>
    <w:rsid w:val="00B77D9F"/>
    <w:rsid w:val="00B828B5"/>
    <w:rsid w:val="00B83B58"/>
    <w:rsid w:val="00B85C64"/>
    <w:rsid w:val="00B861ED"/>
    <w:rsid w:val="00B86AA8"/>
    <w:rsid w:val="00B86B07"/>
    <w:rsid w:val="00B87317"/>
    <w:rsid w:val="00B87DAE"/>
    <w:rsid w:val="00B905C8"/>
    <w:rsid w:val="00B91D35"/>
    <w:rsid w:val="00B92064"/>
    <w:rsid w:val="00B921DB"/>
    <w:rsid w:val="00B9326E"/>
    <w:rsid w:val="00B937FB"/>
    <w:rsid w:val="00B9406B"/>
    <w:rsid w:val="00B947CC"/>
    <w:rsid w:val="00B95924"/>
    <w:rsid w:val="00B966B9"/>
    <w:rsid w:val="00B973F6"/>
    <w:rsid w:val="00B97EE4"/>
    <w:rsid w:val="00B97F9A"/>
    <w:rsid w:val="00BA089B"/>
    <w:rsid w:val="00BA2969"/>
    <w:rsid w:val="00BA333E"/>
    <w:rsid w:val="00BA4558"/>
    <w:rsid w:val="00BA6A6E"/>
    <w:rsid w:val="00BA6F12"/>
    <w:rsid w:val="00BA729E"/>
    <w:rsid w:val="00BB0013"/>
    <w:rsid w:val="00BB001A"/>
    <w:rsid w:val="00BB1078"/>
    <w:rsid w:val="00BB1D0E"/>
    <w:rsid w:val="00BB2286"/>
    <w:rsid w:val="00BB2500"/>
    <w:rsid w:val="00BB26B3"/>
    <w:rsid w:val="00BB393E"/>
    <w:rsid w:val="00BB4157"/>
    <w:rsid w:val="00BB4529"/>
    <w:rsid w:val="00BB5319"/>
    <w:rsid w:val="00BB5472"/>
    <w:rsid w:val="00BB54D8"/>
    <w:rsid w:val="00BB7D18"/>
    <w:rsid w:val="00BB7E79"/>
    <w:rsid w:val="00BC07C6"/>
    <w:rsid w:val="00BC2476"/>
    <w:rsid w:val="00BC3537"/>
    <w:rsid w:val="00BC38C6"/>
    <w:rsid w:val="00BC38EB"/>
    <w:rsid w:val="00BC3D14"/>
    <w:rsid w:val="00BC415C"/>
    <w:rsid w:val="00BC49CA"/>
    <w:rsid w:val="00BC6724"/>
    <w:rsid w:val="00BD29FD"/>
    <w:rsid w:val="00BD3C79"/>
    <w:rsid w:val="00BD4417"/>
    <w:rsid w:val="00BD4E4D"/>
    <w:rsid w:val="00BD55E9"/>
    <w:rsid w:val="00BD7DF9"/>
    <w:rsid w:val="00BE0039"/>
    <w:rsid w:val="00BE0713"/>
    <w:rsid w:val="00BE15FC"/>
    <w:rsid w:val="00BE1992"/>
    <w:rsid w:val="00BE20B9"/>
    <w:rsid w:val="00BE2343"/>
    <w:rsid w:val="00BE2F92"/>
    <w:rsid w:val="00BE3BF9"/>
    <w:rsid w:val="00BE7158"/>
    <w:rsid w:val="00BE7247"/>
    <w:rsid w:val="00BF0FE2"/>
    <w:rsid w:val="00BF1A33"/>
    <w:rsid w:val="00BF5037"/>
    <w:rsid w:val="00BF5464"/>
    <w:rsid w:val="00BF7D20"/>
    <w:rsid w:val="00C02017"/>
    <w:rsid w:val="00C060E9"/>
    <w:rsid w:val="00C0684B"/>
    <w:rsid w:val="00C11800"/>
    <w:rsid w:val="00C13A73"/>
    <w:rsid w:val="00C13FBD"/>
    <w:rsid w:val="00C15598"/>
    <w:rsid w:val="00C16E5D"/>
    <w:rsid w:val="00C1733D"/>
    <w:rsid w:val="00C20093"/>
    <w:rsid w:val="00C233B4"/>
    <w:rsid w:val="00C2359B"/>
    <w:rsid w:val="00C23AFB"/>
    <w:rsid w:val="00C25B23"/>
    <w:rsid w:val="00C26B6F"/>
    <w:rsid w:val="00C271E4"/>
    <w:rsid w:val="00C27BE1"/>
    <w:rsid w:val="00C30836"/>
    <w:rsid w:val="00C30AD8"/>
    <w:rsid w:val="00C30FEA"/>
    <w:rsid w:val="00C31C57"/>
    <w:rsid w:val="00C31D25"/>
    <w:rsid w:val="00C33197"/>
    <w:rsid w:val="00C34570"/>
    <w:rsid w:val="00C3502A"/>
    <w:rsid w:val="00C3589D"/>
    <w:rsid w:val="00C35E73"/>
    <w:rsid w:val="00C379AA"/>
    <w:rsid w:val="00C37B7D"/>
    <w:rsid w:val="00C4088D"/>
    <w:rsid w:val="00C40ABB"/>
    <w:rsid w:val="00C41F76"/>
    <w:rsid w:val="00C421F1"/>
    <w:rsid w:val="00C42711"/>
    <w:rsid w:val="00C42834"/>
    <w:rsid w:val="00C43A85"/>
    <w:rsid w:val="00C43D83"/>
    <w:rsid w:val="00C44C45"/>
    <w:rsid w:val="00C45849"/>
    <w:rsid w:val="00C46307"/>
    <w:rsid w:val="00C4655E"/>
    <w:rsid w:val="00C47443"/>
    <w:rsid w:val="00C5095A"/>
    <w:rsid w:val="00C512BA"/>
    <w:rsid w:val="00C52628"/>
    <w:rsid w:val="00C530CF"/>
    <w:rsid w:val="00C5385C"/>
    <w:rsid w:val="00C54BCB"/>
    <w:rsid w:val="00C54FD1"/>
    <w:rsid w:val="00C55A43"/>
    <w:rsid w:val="00C55AC1"/>
    <w:rsid w:val="00C56081"/>
    <w:rsid w:val="00C56581"/>
    <w:rsid w:val="00C57095"/>
    <w:rsid w:val="00C570BA"/>
    <w:rsid w:val="00C60947"/>
    <w:rsid w:val="00C60CD4"/>
    <w:rsid w:val="00C61ACF"/>
    <w:rsid w:val="00C64031"/>
    <w:rsid w:val="00C64329"/>
    <w:rsid w:val="00C65C8C"/>
    <w:rsid w:val="00C65CF0"/>
    <w:rsid w:val="00C6602F"/>
    <w:rsid w:val="00C662D8"/>
    <w:rsid w:val="00C70C93"/>
    <w:rsid w:val="00C71568"/>
    <w:rsid w:val="00C72984"/>
    <w:rsid w:val="00C72A61"/>
    <w:rsid w:val="00C72C9C"/>
    <w:rsid w:val="00C73685"/>
    <w:rsid w:val="00C75893"/>
    <w:rsid w:val="00C75D45"/>
    <w:rsid w:val="00C77992"/>
    <w:rsid w:val="00C77D63"/>
    <w:rsid w:val="00C8004F"/>
    <w:rsid w:val="00C8075C"/>
    <w:rsid w:val="00C80868"/>
    <w:rsid w:val="00C816F8"/>
    <w:rsid w:val="00C81706"/>
    <w:rsid w:val="00C82F58"/>
    <w:rsid w:val="00C84554"/>
    <w:rsid w:val="00C84DCF"/>
    <w:rsid w:val="00C8571C"/>
    <w:rsid w:val="00C85C7F"/>
    <w:rsid w:val="00C86EA9"/>
    <w:rsid w:val="00C8769A"/>
    <w:rsid w:val="00C92D6B"/>
    <w:rsid w:val="00C94B7A"/>
    <w:rsid w:val="00C9630B"/>
    <w:rsid w:val="00C967D5"/>
    <w:rsid w:val="00C97421"/>
    <w:rsid w:val="00CA0286"/>
    <w:rsid w:val="00CA0340"/>
    <w:rsid w:val="00CA23B2"/>
    <w:rsid w:val="00CA3E72"/>
    <w:rsid w:val="00CA3EC1"/>
    <w:rsid w:val="00CA475B"/>
    <w:rsid w:val="00CA5A7E"/>
    <w:rsid w:val="00CA722B"/>
    <w:rsid w:val="00CA79DA"/>
    <w:rsid w:val="00CB31BE"/>
    <w:rsid w:val="00CB3323"/>
    <w:rsid w:val="00CB3C92"/>
    <w:rsid w:val="00CB5187"/>
    <w:rsid w:val="00CB5330"/>
    <w:rsid w:val="00CB5CB0"/>
    <w:rsid w:val="00CC2F51"/>
    <w:rsid w:val="00CC3016"/>
    <w:rsid w:val="00CC50C2"/>
    <w:rsid w:val="00CC5180"/>
    <w:rsid w:val="00CC529A"/>
    <w:rsid w:val="00CC659C"/>
    <w:rsid w:val="00CC66B8"/>
    <w:rsid w:val="00CC70B9"/>
    <w:rsid w:val="00CD0956"/>
    <w:rsid w:val="00CD0AA9"/>
    <w:rsid w:val="00CD1056"/>
    <w:rsid w:val="00CD18B1"/>
    <w:rsid w:val="00CD432E"/>
    <w:rsid w:val="00CD448F"/>
    <w:rsid w:val="00CD48FE"/>
    <w:rsid w:val="00CD4FAC"/>
    <w:rsid w:val="00CD6E4C"/>
    <w:rsid w:val="00CD7242"/>
    <w:rsid w:val="00CE1095"/>
    <w:rsid w:val="00CE15B1"/>
    <w:rsid w:val="00CE1BE4"/>
    <w:rsid w:val="00CE34DC"/>
    <w:rsid w:val="00CE44DC"/>
    <w:rsid w:val="00CE4E08"/>
    <w:rsid w:val="00CE6245"/>
    <w:rsid w:val="00CF0383"/>
    <w:rsid w:val="00CF107A"/>
    <w:rsid w:val="00CF2291"/>
    <w:rsid w:val="00CF2B21"/>
    <w:rsid w:val="00CF2D89"/>
    <w:rsid w:val="00CF31A3"/>
    <w:rsid w:val="00CF4044"/>
    <w:rsid w:val="00CF50D0"/>
    <w:rsid w:val="00CF52BC"/>
    <w:rsid w:val="00CF590F"/>
    <w:rsid w:val="00CF6201"/>
    <w:rsid w:val="00CF638B"/>
    <w:rsid w:val="00CF654C"/>
    <w:rsid w:val="00CF785B"/>
    <w:rsid w:val="00D015C9"/>
    <w:rsid w:val="00D02F88"/>
    <w:rsid w:val="00D03473"/>
    <w:rsid w:val="00D067FC"/>
    <w:rsid w:val="00D076C9"/>
    <w:rsid w:val="00D07BF6"/>
    <w:rsid w:val="00D10E79"/>
    <w:rsid w:val="00D1155F"/>
    <w:rsid w:val="00D11D3C"/>
    <w:rsid w:val="00D11E3E"/>
    <w:rsid w:val="00D1224E"/>
    <w:rsid w:val="00D147FF"/>
    <w:rsid w:val="00D14A07"/>
    <w:rsid w:val="00D1505E"/>
    <w:rsid w:val="00D1588A"/>
    <w:rsid w:val="00D15B0D"/>
    <w:rsid w:val="00D166AE"/>
    <w:rsid w:val="00D16760"/>
    <w:rsid w:val="00D2009E"/>
    <w:rsid w:val="00D21B06"/>
    <w:rsid w:val="00D22135"/>
    <w:rsid w:val="00D2214C"/>
    <w:rsid w:val="00D22858"/>
    <w:rsid w:val="00D23471"/>
    <w:rsid w:val="00D23970"/>
    <w:rsid w:val="00D239A9"/>
    <w:rsid w:val="00D23A98"/>
    <w:rsid w:val="00D24EFB"/>
    <w:rsid w:val="00D258B7"/>
    <w:rsid w:val="00D26900"/>
    <w:rsid w:val="00D269C9"/>
    <w:rsid w:val="00D26B08"/>
    <w:rsid w:val="00D27AA5"/>
    <w:rsid w:val="00D27E84"/>
    <w:rsid w:val="00D30204"/>
    <w:rsid w:val="00D31564"/>
    <w:rsid w:val="00D316E7"/>
    <w:rsid w:val="00D32EBB"/>
    <w:rsid w:val="00D33F93"/>
    <w:rsid w:val="00D347D6"/>
    <w:rsid w:val="00D37119"/>
    <w:rsid w:val="00D37546"/>
    <w:rsid w:val="00D404F1"/>
    <w:rsid w:val="00D410B3"/>
    <w:rsid w:val="00D41969"/>
    <w:rsid w:val="00D424AA"/>
    <w:rsid w:val="00D42529"/>
    <w:rsid w:val="00D432B1"/>
    <w:rsid w:val="00D43427"/>
    <w:rsid w:val="00D44B4A"/>
    <w:rsid w:val="00D44C0C"/>
    <w:rsid w:val="00D46437"/>
    <w:rsid w:val="00D47DCD"/>
    <w:rsid w:val="00D5098D"/>
    <w:rsid w:val="00D51C62"/>
    <w:rsid w:val="00D51E3B"/>
    <w:rsid w:val="00D543AF"/>
    <w:rsid w:val="00D55423"/>
    <w:rsid w:val="00D566AF"/>
    <w:rsid w:val="00D56B18"/>
    <w:rsid w:val="00D5757B"/>
    <w:rsid w:val="00D57A1E"/>
    <w:rsid w:val="00D57CBA"/>
    <w:rsid w:val="00D6256F"/>
    <w:rsid w:val="00D6300C"/>
    <w:rsid w:val="00D6320F"/>
    <w:rsid w:val="00D63318"/>
    <w:rsid w:val="00D6363B"/>
    <w:rsid w:val="00D65948"/>
    <w:rsid w:val="00D66019"/>
    <w:rsid w:val="00D66263"/>
    <w:rsid w:val="00D677FC"/>
    <w:rsid w:val="00D679E8"/>
    <w:rsid w:val="00D67F7A"/>
    <w:rsid w:val="00D70BFF"/>
    <w:rsid w:val="00D7152B"/>
    <w:rsid w:val="00D71B18"/>
    <w:rsid w:val="00D71C28"/>
    <w:rsid w:val="00D7287F"/>
    <w:rsid w:val="00D73932"/>
    <w:rsid w:val="00D75AFB"/>
    <w:rsid w:val="00D768AA"/>
    <w:rsid w:val="00D76D4B"/>
    <w:rsid w:val="00D77537"/>
    <w:rsid w:val="00D77A02"/>
    <w:rsid w:val="00D813E8"/>
    <w:rsid w:val="00D81E72"/>
    <w:rsid w:val="00D837EC"/>
    <w:rsid w:val="00D83A62"/>
    <w:rsid w:val="00D84231"/>
    <w:rsid w:val="00D851B1"/>
    <w:rsid w:val="00D86017"/>
    <w:rsid w:val="00D86694"/>
    <w:rsid w:val="00D86F83"/>
    <w:rsid w:val="00D873BA"/>
    <w:rsid w:val="00D8774A"/>
    <w:rsid w:val="00D9009A"/>
    <w:rsid w:val="00D90EF6"/>
    <w:rsid w:val="00D9164C"/>
    <w:rsid w:val="00D92A4C"/>
    <w:rsid w:val="00D92B79"/>
    <w:rsid w:val="00D92B90"/>
    <w:rsid w:val="00D95DCB"/>
    <w:rsid w:val="00D9713E"/>
    <w:rsid w:val="00D972B8"/>
    <w:rsid w:val="00DA0F79"/>
    <w:rsid w:val="00DA1536"/>
    <w:rsid w:val="00DA1738"/>
    <w:rsid w:val="00DA2240"/>
    <w:rsid w:val="00DA22E6"/>
    <w:rsid w:val="00DA2EF8"/>
    <w:rsid w:val="00DA3051"/>
    <w:rsid w:val="00DA396F"/>
    <w:rsid w:val="00DA52FF"/>
    <w:rsid w:val="00DA65B3"/>
    <w:rsid w:val="00DA6C3A"/>
    <w:rsid w:val="00DA7731"/>
    <w:rsid w:val="00DB1236"/>
    <w:rsid w:val="00DB2CD2"/>
    <w:rsid w:val="00DB2D4D"/>
    <w:rsid w:val="00DB31EA"/>
    <w:rsid w:val="00DB34C4"/>
    <w:rsid w:val="00DB36A8"/>
    <w:rsid w:val="00DB4991"/>
    <w:rsid w:val="00DB5099"/>
    <w:rsid w:val="00DB5956"/>
    <w:rsid w:val="00DB6CF1"/>
    <w:rsid w:val="00DB6EC4"/>
    <w:rsid w:val="00DC1293"/>
    <w:rsid w:val="00DC12FF"/>
    <w:rsid w:val="00DC18D8"/>
    <w:rsid w:val="00DC2884"/>
    <w:rsid w:val="00DC3A4F"/>
    <w:rsid w:val="00DC4AA7"/>
    <w:rsid w:val="00DC4E78"/>
    <w:rsid w:val="00DC5922"/>
    <w:rsid w:val="00DC5D84"/>
    <w:rsid w:val="00DC6097"/>
    <w:rsid w:val="00DC623A"/>
    <w:rsid w:val="00DC75B4"/>
    <w:rsid w:val="00DC7C82"/>
    <w:rsid w:val="00DC7CDB"/>
    <w:rsid w:val="00DD0681"/>
    <w:rsid w:val="00DD0B9C"/>
    <w:rsid w:val="00DD2362"/>
    <w:rsid w:val="00DD3F68"/>
    <w:rsid w:val="00DD5EFF"/>
    <w:rsid w:val="00DD6BFE"/>
    <w:rsid w:val="00DD7801"/>
    <w:rsid w:val="00DE2D9D"/>
    <w:rsid w:val="00DE3309"/>
    <w:rsid w:val="00DE52C9"/>
    <w:rsid w:val="00DE5414"/>
    <w:rsid w:val="00DE565D"/>
    <w:rsid w:val="00DE5B9B"/>
    <w:rsid w:val="00DF03C3"/>
    <w:rsid w:val="00DF079B"/>
    <w:rsid w:val="00DF0CBD"/>
    <w:rsid w:val="00DF0CD9"/>
    <w:rsid w:val="00DF3C45"/>
    <w:rsid w:val="00DF548C"/>
    <w:rsid w:val="00DF7FC1"/>
    <w:rsid w:val="00E0028E"/>
    <w:rsid w:val="00E01939"/>
    <w:rsid w:val="00E040FF"/>
    <w:rsid w:val="00E045F2"/>
    <w:rsid w:val="00E0488D"/>
    <w:rsid w:val="00E04B00"/>
    <w:rsid w:val="00E04F12"/>
    <w:rsid w:val="00E05BE8"/>
    <w:rsid w:val="00E067F8"/>
    <w:rsid w:val="00E068C0"/>
    <w:rsid w:val="00E06F60"/>
    <w:rsid w:val="00E071D0"/>
    <w:rsid w:val="00E075A5"/>
    <w:rsid w:val="00E07C0D"/>
    <w:rsid w:val="00E100A0"/>
    <w:rsid w:val="00E10445"/>
    <w:rsid w:val="00E10B00"/>
    <w:rsid w:val="00E11458"/>
    <w:rsid w:val="00E114C2"/>
    <w:rsid w:val="00E12344"/>
    <w:rsid w:val="00E125A6"/>
    <w:rsid w:val="00E127B0"/>
    <w:rsid w:val="00E12C14"/>
    <w:rsid w:val="00E13E55"/>
    <w:rsid w:val="00E149D3"/>
    <w:rsid w:val="00E168C3"/>
    <w:rsid w:val="00E17C95"/>
    <w:rsid w:val="00E20D0E"/>
    <w:rsid w:val="00E2195D"/>
    <w:rsid w:val="00E229DF"/>
    <w:rsid w:val="00E230C3"/>
    <w:rsid w:val="00E26594"/>
    <w:rsid w:val="00E26B4B"/>
    <w:rsid w:val="00E27410"/>
    <w:rsid w:val="00E278E6"/>
    <w:rsid w:val="00E27BE5"/>
    <w:rsid w:val="00E30F0D"/>
    <w:rsid w:val="00E327F8"/>
    <w:rsid w:val="00E32C2A"/>
    <w:rsid w:val="00E336A3"/>
    <w:rsid w:val="00E33916"/>
    <w:rsid w:val="00E34197"/>
    <w:rsid w:val="00E34DBA"/>
    <w:rsid w:val="00E36CB7"/>
    <w:rsid w:val="00E41311"/>
    <w:rsid w:val="00E41956"/>
    <w:rsid w:val="00E41D43"/>
    <w:rsid w:val="00E422E2"/>
    <w:rsid w:val="00E424AA"/>
    <w:rsid w:val="00E43005"/>
    <w:rsid w:val="00E43553"/>
    <w:rsid w:val="00E444D4"/>
    <w:rsid w:val="00E4593F"/>
    <w:rsid w:val="00E45ECB"/>
    <w:rsid w:val="00E46201"/>
    <w:rsid w:val="00E46681"/>
    <w:rsid w:val="00E50E37"/>
    <w:rsid w:val="00E50F56"/>
    <w:rsid w:val="00E53480"/>
    <w:rsid w:val="00E53BAD"/>
    <w:rsid w:val="00E54895"/>
    <w:rsid w:val="00E54D97"/>
    <w:rsid w:val="00E57C1E"/>
    <w:rsid w:val="00E66419"/>
    <w:rsid w:val="00E67219"/>
    <w:rsid w:val="00E71B2D"/>
    <w:rsid w:val="00E725E8"/>
    <w:rsid w:val="00E72E1D"/>
    <w:rsid w:val="00E73315"/>
    <w:rsid w:val="00E73416"/>
    <w:rsid w:val="00E734CC"/>
    <w:rsid w:val="00E75C3A"/>
    <w:rsid w:val="00E76427"/>
    <w:rsid w:val="00E777FF"/>
    <w:rsid w:val="00E779B9"/>
    <w:rsid w:val="00E80FEA"/>
    <w:rsid w:val="00E818D7"/>
    <w:rsid w:val="00E81BAE"/>
    <w:rsid w:val="00E831D5"/>
    <w:rsid w:val="00E855EE"/>
    <w:rsid w:val="00E859D8"/>
    <w:rsid w:val="00E85F35"/>
    <w:rsid w:val="00E87C3C"/>
    <w:rsid w:val="00E87F7C"/>
    <w:rsid w:val="00E920C6"/>
    <w:rsid w:val="00E92D38"/>
    <w:rsid w:val="00E93099"/>
    <w:rsid w:val="00E94383"/>
    <w:rsid w:val="00E94A83"/>
    <w:rsid w:val="00E94CD8"/>
    <w:rsid w:val="00E96131"/>
    <w:rsid w:val="00E963AE"/>
    <w:rsid w:val="00E972ED"/>
    <w:rsid w:val="00E97E28"/>
    <w:rsid w:val="00EA0837"/>
    <w:rsid w:val="00EA39EB"/>
    <w:rsid w:val="00EA46A6"/>
    <w:rsid w:val="00EA47DC"/>
    <w:rsid w:val="00EA490E"/>
    <w:rsid w:val="00EA4B29"/>
    <w:rsid w:val="00EB04CD"/>
    <w:rsid w:val="00EB12B0"/>
    <w:rsid w:val="00EB14E0"/>
    <w:rsid w:val="00EB196E"/>
    <w:rsid w:val="00EB399F"/>
    <w:rsid w:val="00EB3AFC"/>
    <w:rsid w:val="00EB47B1"/>
    <w:rsid w:val="00EB4A55"/>
    <w:rsid w:val="00EB6AC5"/>
    <w:rsid w:val="00EB6CAB"/>
    <w:rsid w:val="00EB7A82"/>
    <w:rsid w:val="00EC1331"/>
    <w:rsid w:val="00EC1F85"/>
    <w:rsid w:val="00EC30D7"/>
    <w:rsid w:val="00EC45C5"/>
    <w:rsid w:val="00ED0411"/>
    <w:rsid w:val="00ED2931"/>
    <w:rsid w:val="00ED2EEC"/>
    <w:rsid w:val="00ED38C0"/>
    <w:rsid w:val="00ED666D"/>
    <w:rsid w:val="00ED706A"/>
    <w:rsid w:val="00EE0915"/>
    <w:rsid w:val="00EE1AEB"/>
    <w:rsid w:val="00EE2110"/>
    <w:rsid w:val="00EE246D"/>
    <w:rsid w:val="00EE278E"/>
    <w:rsid w:val="00EE2E1C"/>
    <w:rsid w:val="00EE3E96"/>
    <w:rsid w:val="00EE4052"/>
    <w:rsid w:val="00EE4614"/>
    <w:rsid w:val="00EE6C26"/>
    <w:rsid w:val="00EE7C16"/>
    <w:rsid w:val="00EF13DD"/>
    <w:rsid w:val="00EF22EE"/>
    <w:rsid w:val="00EF28B7"/>
    <w:rsid w:val="00EF2963"/>
    <w:rsid w:val="00EF2E9B"/>
    <w:rsid w:val="00EF4665"/>
    <w:rsid w:val="00F001EB"/>
    <w:rsid w:val="00F00280"/>
    <w:rsid w:val="00F004BC"/>
    <w:rsid w:val="00F0141D"/>
    <w:rsid w:val="00F01B01"/>
    <w:rsid w:val="00F0312B"/>
    <w:rsid w:val="00F03F11"/>
    <w:rsid w:val="00F04C3E"/>
    <w:rsid w:val="00F05764"/>
    <w:rsid w:val="00F058CF"/>
    <w:rsid w:val="00F10B12"/>
    <w:rsid w:val="00F11CAC"/>
    <w:rsid w:val="00F11DF4"/>
    <w:rsid w:val="00F12655"/>
    <w:rsid w:val="00F12B8B"/>
    <w:rsid w:val="00F13045"/>
    <w:rsid w:val="00F13FEA"/>
    <w:rsid w:val="00F14548"/>
    <w:rsid w:val="00F16E6E"/>
    <w:rsid w:val="00F20182"/>
    <w:rsid w:val="00F228B7"/>
    <w:rsid w:val="00F234E0"/>
    <w:rsid w:val="00F242C7"/>
    <w:rsid w:val="00F30A7D"/>
    <w:rsid w:val="00F30A96"/>
    <w:rsid w:val="00F30F15"/>
    <w:rsid w:val="00F30F59"/>
    <w:rsid w:val="00F32475"/>
    <w:rsid w:val="00F3338B"/>
    <w:rsid w:val="00F34980"/>
    <w:rsid w:val="00F35C3D"/>
    <w:rsid w:val="00F35D2D"/>
    <w:rsid w:val="00F3655B"/>
    <w:rsid w:val="00F365D9"/>
    <w:rsid w:val="00F36985"/>
    <w:rsid w:val="00F418CE"/>
    <w:rsid w:val="00F418DC"/>
    <w:rsid w:val="00F42F49"/>
    <w:rsid w:val="00F440FF"/>
    <w:rsid w:val="00F44331"/>
    <w:rsid w:val="00F44A00"/>
    <w:rsid w:val="00F460E4"/>
    <w:rsid w:val="00F461C4"/>
    <w:rsid w:val="00F469E0"/>
    <w:rsid w:val="00F52C79"/>
    <w:rsid w:val="00F547DC"/>
    <w:rsid w:val="00F5525E"/>
    <w:rsid w:val="00F55294"/>
    <w:rsid w:val="00F5558F"/>
    <w:rsid w:val="00F55C8A"/>
    <w:rsid w:val="00F55D5F"/>
    <w:rsid w:val="00F56025"/>
    <w:rsid w:val="00F568FC"/>
    <w:rsid w:val="00F56D55"/>
    <w:rsid w:val="00F57DE3"/>
    <w:rsid w:val="00F6083A"/>
    <w:rsid w:val="00F61C78"/>
    <w:rsid w:val="00F6295C"/>
    <w:rsid w:val="00F63F27"/>
    <w:rsid w:val="00F64638"/>
    <w:rsid w:val="00F64C54"/>
    <w:rsid w:val="00F66C2F"/>
    <w:rsid w:val="00F66C3F"/>
    <w:rsid w:val="00F6718D"/>
    <w:rsid w:val="00F70550"/>
    <w:rsid w:val="00F7188E"/>
    <w:rsid w:val="00F71F87"/>
    <w:rsid w:val="00F71F88"/>
    <w:rsid w:val="00F7234A"/>
    <w:rsid w:val="00F726F6"/>
    <w:rsid w:val="00F72AF8"/>
    <w:rsid w:val="00F72F6C"/>
    <w:rsid w:val="00F73C72"/>
    <w:rsid w:val="00F75EFF"/>
    <w:rsid w:val="00F7663A"/>
    <w:rsid w:val="00F775FB"/>
    <w:rsid w:val="00F77904"/>
    <w:rsid w:val="00F814E3"/>
    <w:rsid w:val="00F81635"/>
    <w:rsid w:val="00F8339D"/>
    <w:rsid w:val="00F83BB7"/>
    <w:rsid w:val="00F855A6"/>
    <w:rsid w:val="00F871EE"/>
    <w:rsid w:val="00F877D6"/>
    <w:rsid w:val="00F901D1"/>
    <w:rsid w:val="00F93014"/>
    <w:rsid w:val="00F9372B"/>
    <w:rsid w:val="00F93845"/>
    <w:rsid w:val="00F957C6"/>
    <w:rsid w:val="00F95E9D"/>
    <w:rsid w:val="00F96C59"/>
    <w:rsid w:val="00F972CA"/>
    <w:rsid w:val="00F97419"/>
    <w:rsid w:val="00F97866"/>
    <w:rsid w:val="00FA0495"/>
    <w:rsid w:val="00FA094E"/>
    <w:rsid w:val="00FA0CB9"/>
    <w:rsid w:val="00FA246F"/>
    <w:rsid w:val="00FA3A40"/>
    <w:rsid w:val="00FA4D82"/>
    <w:rsid w:val="00FA5186"/>
    <w:rsid w:val="00FA5E3B"/>
    <w:rsid w:val="00FA693A"/>
    <w:rsid w:val="00FA6CD0"/>
    <w:rsid w:val="00FA7195"/>
    <w:rsid w:val="00FA7EDF"/>
    <w:rsid w:val="00FB0CFB"/>
    <w:rsid w:val="00FB1C87"/>
    <w:rsid w:val="00FB2318"/>
    <w:rsid w:val="00FB2486"/>
    <w:rsid w:val="00FB423D"/>
    <w:rsid w:val="00FB4497"/>
    <w:rsid w:val="00FB47FA"/>
    <w:rsid w:val="00FB4E2E"/>
    <w:rsid w:val="00FB5568"/>
    <w:rsid w:val="00FB5CF7"/>
    <w:rsid w:val="00FB5D34"/>
    <w:rsid w:val="00FB6134"/>
    <w:rsid w:val="00FB695D"/>
    <w:rsid w:val="00FB7D39"/>
    <w:rsid w:val="00FC0694"/>
    <w:rsid w:val="00FC19DD"/>
    <w:rsid w:val="00FC1FB4"/>
    <w:rsid w:val="00FC30B6"/>
    <w:rsid w:val="00FC44CC"/>
    <w:rsid w:val="00FC4C12"/>
    <w:rsid w:val="00FC5066"/>
    <w:rsid w:val="00FC63B8"/>
    <w:rsid w:val="00FC64DC"/>
    <w:rsid w:val="00FC6B99"/>
    <w:rsid w:val="00FC735C"/>
    <w:rsid w:val="00FC75B3"/>
    <w:rsid w:val="00FD1A79"/>
    <w:rsid w:val="00FD1E9B"/>
    <w:rsid w:val="00FD3912"/>
    <w:rsid w:val="00FD3BCB"/>
    <w:rsid w:val="00FD3F8D"/>
    <w:rsid w:val="00FD5518"/>
    <w:rsid w:val="00FD7630"/>
    <w:rsid w:val="00FE0D30"/>
    <w:rsid w:val="00FE18B8"/>
    <w:rsid w:val="00FE1DD3"/>
    <w:rsid w:val="00FE2795"/>
    <w:rsid w:val="00FE28BD"/>
    <w:rsid w:val="00FE2AA6"/>
    <w:rsid w:val="00FE35FA"/>
    <w:rsid w:val="00FE5051"/>
    <w:rsid w:val="00FE5455"/>
    <w:rsid w:val="00FE5C97"/>
    <w:rsid w:val="00FE6360"/>
    <w:rsid w:val="00FE66BB"/>
    <w:rsid w:val="00FF019C"/>
    <w:rsid w:val="00FF0573"/>
    <w:rsid w:val="00FF07C7"/>
    <w:rsid w:val="00FF0AFD"/>
    <w:rsid w:val="00FF0DAE"/>
    <w:rsid w:val="00FF18C6"/>
    <w:rsid w:val="00FF1A41"/>
    <w:rsid w:val="00FF2213"/>
    <w:rsid w:val="00FF36DE"/>
    <w:rsid w:val="00FF4B4A"/>
    <w:rsid w:val="00FF4F38"/>
    <w:rsid w:val="00FF622E"/>
    <w:rsid w:val="00FF660E"/>
  </w:rsids>
  <m:mathPr>
    <m:mathFont m:val="Cambria Math"/>
    <m:brkBin m:val="before"/>
    <m:brkBinSub m:val="--"/>
    <m:smallFrac m:val="0"/>
    <m:dispDef/>
    <m:lMargin m:val="0"/>
    <m:rMargin m:val="0"/>
    <m:defJc m:val="centerGroup"/>
    <m:wrapIndent m:val="1440"/>
    <m:intLim m:val="subSup"/>
    <m:naryLim m:val="undOvr"/>
  </m:mathPr>
  <w:themeFontLang w:val="en-US"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70690"/>
  <w15:chartTrackingRefBased/>
  <w15:docId w15:val="{E4DFFDA4-FB62-487F-A935-72C35EE5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B5187"/>
    <w:rPr>
      <w:sz w:val="16"/>
      <w:szCs w:val="16"/>
    </w:rPr>
  </w:style>
  <w:style w:type="paragraph" w:styleId="CommentText">
    <w:name w:val="annotation text"/>
    <w:basedOn w:val="Normal"/>
    <w:link w:val="CommentTextChar"/>
    <w:uiPriority w:val="99"/>
    <w:semiHidden/>
    <w:unhideWhenUsed/>
    <w:rsid w:val="00CB5187"/>
    <w:pPr>
      <w:spacing w:line="240" w:lineRule="auto"/>
    </w:pPr>
    <w:rPr>
      <w:rFonts w:ascii="Arial" w:hAnsi="Arial"/>
      <w:sz w:val="20"/>
      <w:szCs w:val="20"/>
      <w:lang w:val="de-DE"/>
    </w:rPr>
  </w:style>
  <w:style w:type="character" w:customStyle="1" w:styleId="CommentTextChar">
    <w:name w:val="Comment Text Char"/>
    <w:basedOn w:val="DefaultParagraphFont"/>
    <w:link w:val="CommentText"/>
    <w:uiPriority w:val="99"/>
    <w:semiHidden/>
    <w:rsid w:val="00CB5187"/>
    <w:rPr>
      <w:rFonts w:ascii="Arial" w:hAnsi="Arial"/>
      <w:sz w:val="20"/>
      <w:szCs w:val="20"/>
      <w:lang w:val="de-DE"/>
    </w:rPr>
  </w:style>
  <w:style w:type="paragraph" w:styleId="BalloonText">
    <w:name w:val="Balloon Text"/>
    <w:basedOn w:val="Normal"/>
    <w:link w:val="BalloonTextChar"/>
    <w:uiPriority w:val="99"/>
    <w:semiHidden/>
    <w:unhideWhenUsed/>
    <w:rsid w:val="00CB51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187"/>
    <w:rPr>
      <w:rFonts w:ascii="Segoe UI" w:hAnsi="Segoe UI" w:cs="Segoe UI"/>
      <w:sz w:val="18"/>
      <w:szCs w:val="18"/>
    </w:rPr>
  </w:style>
  <w:style w:type="paragraph" w:customStyle="1" w:styleId="datenstand">
    <w:name w:val="datenstand"/>
    <w:basedOn w:val="Normal"/>
    <w:rsid w:val="00FE6360"/>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Hyperlink">
    <w:name w:val="Hyperlink"/>
    <w:basedOn w:val="DefaultParagraphFont"/>
    <w:uiPriority w:val="99"/>
    <w:unhideWhenUsed/>
    <w:rsid w:val="002839C4"/>
    <w:rPr>
      <w:color w:val="0563C1" w:themeColor="hyperlink"/>
      <w:u w:val="single"/>
    </w:rPr>
  </w:style>
  <w:style w:type="character" w:customStyle="1" w:styleId="NichtaufgelsteErwhnung1">
    <w:name w:val="Nicht aufgelöste Erwähnung1"/>
    <w:basedOn w:val="DefaultParagraphFont"/>
    <w:uiPriority w:val="99"/>
    <w:semiHidden/>
    <w:unhideWhenUsed/>
    <w:rsid w:val="002839C4"/>
    <w:rPr>
      <w:color w:val="605E5C"/>
      <w:shd w:val="clear" w:color="auto" w:fill="E1DFDD"/>
    </w:rPr>
  </w:style>
  <w:style w:type="table" w:styleId="TableGrid">
    <w:name w:val="Table Grid"/>
    <w:basedOn w:val="TableNormal"/>
    <w:uiPriority w:val="39"/>
    <w:rsid w:val="004C3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C3284"/>
    <w:pPr>
      <w:spacing w:after="200" w:line="240" w:lineRule="auto"/>
    </w:pPr>
    <w:rPr>
      <w:i/>
      <w:iCs/>
      <w:color w:val="44546A" w:themeColor="text2"/>
      <w:sz w:val="18"/>
      <w:szCs w:val="18"/>
    </w:rPr>
  </w:style>
  <w:style w:type="paragraph" w:customStyle="1" w:styleId="CitaviBibliographyEntry">
    <w:name w:val="Citavi Bibliography Entry"/>
    <w:basedOn w:val="Normal"/>
    <w:link w:val="CitaviBibliographyEntryZchn"/>
    <w:rsid w:val="00A36621"/>
    <w:pPr>
      <w:tabs>
        <w:tab w:val="left" w:pos="397"/>
      </w:tabs>
      <w:spacing w:after="0" w:line="360" w:lineRule="auto"/>
      <w:ind w:left="397" w:hanging="397"/>
    </w:pPr>
    <w:rPr>
      <w:rFonts w:ascii="Times New Roman" w:eastAsia="Times New Roman" w:hAnsi="Times New Roman" w:cs="Times New Roman"/>
    </w:rPr>
  </w:style>
  <w:style w:type="character" w:customStyle="1" w:styleId="CitaviBibliographyEntryZchn">
    <w:name w:val="Citavi Bibliography Entry Zchn"/>
    <w:basedOn w:val="DefaultParagraphFont"/>
    <w:link w:val="CitaviBibliographyEntry"/>
    <w:rsid w:val="00A36621"/>
    <w:rPr>
      <w:rFonts w:ascii="Times New Roman" w:eastAsia="Times New Roman" w:hAnsi="Times New Roman" w:cs="Times New Roman"/>
    </w:rPr>
  </w:style>
  <w:style w:type="paragraph" w:styleId="Bibliography">
    <w:name w:val="Bibliography"/>
    <w:basedOn w:val="Normal"/>
    <w:next w:val="Normal"/>
    <w:uiPriority w:val="37"/>
    <w:unhideWhenUsed/>
    <w:rsid w:val="00C43A85"/>
    <w:pPr>
      <w:tabs>
        <w:tab w:val="left" w:pos="504"/>
      </w:tabs>
      <w:spacing w:after="240" w:line="240" w:lineRule="auto"/>
      <w:ind w:left="504" w:hanging="504"/>
    </w:pPr>
  </w:style>
  <w:style w:type="paragraph" w:styleId="ListParagraph">
    <w:name w:val="List Paragraph"/>
    <w:basedOn w:val="Normal"/>
    <w:uiPriority w:val="34"/>
    <w:qFormat/>
    <w:rsid w:val="00F93845"/>
    <w:pPr>
      <w:ind w:left="720"/>
      <w:contextualSpacing/>
    </w:pPr>
  </w:style>
  <w:style w:type="paragraph" w:styleId="Header">
    <w:name w:val="header"/>
    <w:basedOn w:val="Normal"/>
    <w:link w:val="HeaderChar"/>
    <w:uiPriority w:val="99"/>
    <w:unhideWhenUsed/>
    <w:rsid w:val="004411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1114"/>
  </w:style>
  <w:style w:type="paragraph" w:styleId="Footer">
    <w:name w:val="footer"/>
    <w:basedOn w:val="Normal"/>
    <w:link w:val="FooterChar"/>
    <w:uiPriority w:val="99"/>
    <w:unhideWhenUsed/>
    <w:rsid w:val="004411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1114"/>
  </w:style>
  <w:style w:type="paragraph" w:styleId="NormalWeb">
    <w:name w:val="Normal (Web)"/>
    <w:basedOn w:val="Normal"/>
    <w:uiPriority w:val="99"/>
    <w:unhideWhenUsed/>
    <w:rsid w:val="00410797"/>
    <w:pPr>
      <w:spacing w:before="100" w:beforeAutospacing="1" w:after="100" w:afterAutospacing="1" w:line="240" w:lineRule="auto"/>
    </w:pPr>
    <w:rPr>
      <w:rFonts w:ascii="Calibri" w:hAnsi="Calibri" w:cs="Calibri"/>
      <w:lang w:val="de-DE" w:eastAsia="de-DE"/>
    </w:rPr>
  </w:style>
  <w:style w:type="paragraph" w:styleId="CommentSubject">
    <w:name w:val="annotation subject"/>
    <w:basedOn w:val="CommentText"/>
    <w:next w:val="CommentText"/>
    <w:link w:val="CommentSubjectChar"/>
    <w:uiPriority w:val="99"/>
    <w:semiHidden/>
    <w:unhideWhenUsed/>
    <w:rsid w:val="000A0C85"/>
    <w:rPr>
      <w:rFonts w:asciiTheme="minorHAnsi" w:hAnsiTheme="minorHAnsi"/>
      <w:b/>
      <w:bCs/>
      <w:lang w:val="en-US"/>
    </w:rPr>
  </w:style>
  <w:style w:type="character" w:customStyle="1" w:styleId="CommentSubjectChar">
    <w:name w:val="Comment Subject Char"/>
    <w:basedOn w:val="CommentTextChar"/>
    <w:link w:val="CommentSubject"/>
    <w:uiPriority w:val="99"/>
    <w:semiHidden/>
    <w:rsid w:val="000A0C85"/>
    <w:rPr>
      <w:rFonts w:ascii="Arial" w:hAnsi="Arial"/>
      <w:b/>
      <w:bCs/>
      <w:sz w:val="20"/>
      <w:szCs w:val="20"/>
      <w:lang w:val="de-DE"/>
    </w:rPr>
  </w:style>
  <w:style w:type="paragraph" w:styleId="FootnoteText">
    <w:name w:val="footnote text"/>
    <w:basedOn w:val="Normal"/>
    <w:link w:val="FootnoteTextChar"/>
    <w:uiPriority w:val="99"/>
    <w:semiHidden/>
    <w:unhideWhenUsed/>
    <w:rsid w:val="00FE28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E28BD"/>
    <w:rPr>
      <w:sz w:val="20"/>
      <w:szCs w:val="20"/>
    </w:rPr>
  </w:style>
  <w:style w:type="character" w:styleId="FootnoteReference">
    <w:name w:val="footnote reference"/>
    <w:basedOn w:val="DefaultParagraphFont"/>
    <w:uiPriority w:val="99"/>
    <w:semiHidden/>
    <w:unhideWhenUsed/>
    <w:rsid w:val="00FE28BD"/>
    <w:rPr>
      <w:vertAlign w:val="superscript"/>
    </w:rPr>
  </w:style>
  <w:style w:type="character" w:styleId="UnresolvedMention">
    <w:name w:val="Unresolved Mention"/>
    <w:basedOn w:val="DefaultParagraphFont"/>
    <w:uiPriority w:val="99"/>
    <w:semiHidden/>
    <w:unhideWhenUsed/>
    <w:rsid w:val="0021013D"/>
    <w:rPr>
      <w:color w:val="605E5C"/>
      <w:shd w:val="clear" w:color="auto" w:fill="E1DFDD"/>
    </w:rPr>
  </w:style>
  <w:style w:type="paragraph" w:styleId="PlainText">
    <w:name w:val="Plain Text"/>
    <w:basedOn w:val="Normal"/>
    <w:link w:val="PlainTextChar"/>
    <w:uiPriority w:val="99"/>
    <w:semiHidden/>
    <w:unhideWhenUsed/>
    <w:rsid w:val="00B37793"/>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B37793"/>
    <w:rPr>
      <w:rFonts w:ascii="Calibri" w:hAnsi="Calibri"/>
      <w:szCs w:val="21"/>
    </w:rPr>
  </w:style>
  <w:style w:type="character" w:styleId="PlaceholderText">
    <w:name w:val="Placeholder Text"/>
    <w:basedOn w:val="DefaultParagraphFont"/>
    <w:uiPriority w:val="99"/>
    <w:semiHidden/>
    <w:rsid w:val="007212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103874">
      <w:bodyDiv w:val="1"/>
      <w:marLeft w:val="0"/>
      <w:marRight w:val="0"/>
      <w:marTop w:val="0"/>
      <w:marBottom w:val="0"/>
      <w:divBdr>
        <w:top w:val="none" w:sz="0" w:space="0" w:color="auto"/>
        <w:left w:val="none" w:sz="0" w:space="0" w:color="auto"/>
        <w:bottom w:val="none" w:sz="0" w:space="0" w:color="auto"/>
        <w:right w:val="none" w:sz="0" w:space="0" w:color="auto"/>
      </w:divBdr>
    </w:div>
    <w:div w:id="1046490171">
      <w:bodyDiv w:val="1"/>
      <w:marLeft w:val="0"/>
      <w:marRight w:val="0"/>
      <w:marTop w:val="0"/>
      <w:marBottom w:val="0"/>
      <w:divBdr>
        <w:top w:val="none" w:sz="0" w:space="0" w:color="auto"/>
        <w:left w:val="none" w:sz="0" w:space="0" w:color="auto"/>
        <w:bottom w:val="none" w:sz="0" w:space="0" w:color="auto"/>
        <w:right w:val="none" w:sz="0" w:space="0" w:color="auto"/>
      </w:divBdr>
      <w:divsChild>
        <w:div w:id="749695791">
          <w:marLeft w:val="547"/>
          <w:marRight w:val="0"/>
          <w:marTop w:val="0"/>
          <w:marBottom w:val="0"/>
          <w:divBdr>
            <w:top w:val="none" w:sz="0" w:space="0" w:color="auto"/>
            <w:left w:val="none" w:sz="0" w:space="0" w:color="auto"/>
            <w:bottom w:val="none" w:sz="0" w:space="0" w:color="auto"/>
            <w:right w:val="none" w:sz="0" w:space="0" w:color="auto"/>
          </w:divBdr>
        </w:div>
        <w:div w:id="1771925950">
          <w:marLeft w:val="547"/>
          <w:marRight w:val="0"/>
          <w:marTop w:val="0"/>
          <w:marBottom w:val="0"/>
          <w:divBdr>
            <w:top w:val="none" w:sz="0" w:space="0" w:color="auto"/>
            <w:left w:val="none" w:sz="0" w:space="0" w:color="auto"/>
            <w:bottom w:val="none" w:sz="0" w:space="0" w:color="auto"/>
            <w:right w:val="none" w:sz="0" w:space="0" w:color="auto"/>
          </w:divBdr>
        </w:div>
      </w:divsChild>
    </w:div>
    <w:div w:id="1703674874">
      <w:bodyDiv w:val="1"/>
      <w:marLeft w:val="0"/>
      <w:marRight w:val="0"/>
      <w:marTop w:val="0"/>
      <w:marBottom w:val="0"/>
      <w:divBdr>
        <w:top w:val="none" w:sz="0" w:space="0" w:color="auto"/>
        <w:left w:val="none" w:sz="0" w:space="0" w:color="auto"/>
        <w:bottom w:val="none" w:sz="0" w:space="0" w:color="auto"/>
        <w:right w:val="none" w:sz="0" w:space="0" w:color="auto"/>
      </w:divBdr>
    </w:div>
    <w:div w:id="1917587596">
      <w:bodyDiv w:val="1"/>
      <w:marLeft w:val="0"/>
      <w:marRight w:val="0"/>
      <w:marTop w:val="0"/>
      <w:marBottom w:val="0"/>
      <w:divBdr>
        <w:top w:val="none" w:sz="0" w:space="0" w:color="auto"/>
        <w:left w:val="none" w:sz="0" w:space="0" w:color="auto"/>
        <w:bottom w:val="none" w:sz="0" w:space="0" w:color="auto"/>
        <w:right w:val="none" w:sz="0" w:space="0" w:color="auto"/>
      </w:divBdr>
      <w:divsChild>
        <w:div w:id="1157916642">
          <w:marLeft w:val="461"/>
          <w:marRight w:val="0"/>
          <w:marTop w:val="0"/>
          <w:marBottom w:val="120"/>
          <w:divBdr>
            <w:top w:val="none" w:sz="0" w:space="0" w:color="auto"/>
            <w:left w:val="none" w:sz="0" w:space="0" w:color="auto"/>
            <w:bottom w:val="none" w:sz="0" w:space="0" w:color="auto"/>
            <w:right w:val="none" w:sz="0" w:space="0" w:color="auto"/>
          </w:divBdr>
        </w:div>
        <w:div w:id="1354070992">
          <w:marLeft w:val="1080"/>
          <w:marRight w:val="0"/>
          <w:marTop w:val="0"/>
          <w:marBottom w:val="120"/>
          <w:divBdr>
            <w:top w:val="none" w:sz="0" w:space="0" w:color="auto"/>
            <w:left w:val="none" w:sz="0" w:space="0" w:color="auto"/>
            <w:bottom w:val="none" w:sz="0" w:space="0" w:color="auto"/>
            <w:right w:val="none" w:sz="0" w:space="0" w:color="auto"/>
          </w:divBdr>
        </w:div>
        <w:div w:id="1394935272">
          <w:marLeft w:val="1080"/>
          <w:marRight w:val="0"/>
          <w:marTop w:val="0"/>
          <w:marBottom w:val="240"/>
          <w:divBdr>
            <w:top w:val="none" w:sz="0" w:space="0" w:color="auto"/>
            <w:left w:val="none" w:sz="0" w:space="0" w:color="auto"/>
            <w:bottom w:val="none" w:sz="0" w:space="0" w:color="auto"/>
            <w:right w:val="none" w:sz="0" w:space="0" w:color="auto"/>
          </w:divBdr>
        </w:div>
        <w:div w:id="207146605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039219ED8B0B448EF75342E1033FCE" ma:contentTypeVersion="12" ma:contentTypeDescription="Ein neues Dokument erstellen." ma:contentTypeScope="" ma:versionID="13f6334db6dd936684f62e6102eb0398">
  <xsd:schema xmlns:xsd="http://www.w3.org/2001/XMLSchema" xmlns:xs="http://www.w3.org/2001/XMLSchema" xmlns:p="http://schemas.microsoft.com/office/2006/metadata/properties" xmlns:ns2="edaf344f-e645-4f6b-953d-f1a0ad336aa6" xmlns:ns3="1bf27f27-c96a-4287-bd58-81f6b59e628c" targetNamespace="http://schemas.microsoft.com/office/2006/metadata/properties" ma:root="true" ma:fieldsID="d251116a0d91456e1e28e31a32375c8b" ns2:_="" ns3:_="">
    <xsd:import namespace="edaf344f-e645-4f6b-953d-f1a0ad336aa6"/>
    <xsd:import namespace="1bf27f27-c96a-4287-bd58-81f6b59e62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af344f-e645-4f6b-953d-f1a0ad336a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27f27-c96a-4287-bd58-81f6b59e628c"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4B09E3-1727-4BB4-A069-C7E689E06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af344f-e645-4f6b-953d-f1a0ad336aa6"/>
    <ds:schemaRef ds:uri="1bf27f27-c96a-4287-bd58-81f6b59e6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CF0B4-361B-46CC-9404-3C8D72079D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5A6A6-5EEF-4C1F-B8A7-3903CB6EDD77}">
  <ds:schemaRefs>
    <ds:schemaRef ds:uri="http://schemas.openxmlformats.org/officeDocument/2006/bibliography"/>
  </ds:schemaRefs>
</ds:datastoreItem>
</file>

<file path=customXml/itemProps4.xml><?xml version="1.0" encoding="utf-8"?>
<ds:datastoreItem xmlns:ds="http://schemas.openxmlformats.org/officeDocument/2006/customXml" ds:itemID="{06D1B60F-58CB-45A7-B78A-78A02FDAC8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3389</Words>
  <Characters>19320</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Societal Impact of Obinutuzumab</vt:lpstr>
      <vt:lpstr>The Societal Impact of Obinutuzumab</vt:lpstr>
    </vt:vector>
  </TitlesOfParts>
  <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Societal Impact of Obinutuzumab</dc:title>
  <dc:subject/>
  <dc:creator>Sarah Hofmann | WifOR</dc:creator>
  <cp:keywords/>
  <dc:description/>
  <cp:lastModifiedBy>Laura Dormer</cp:lastModifiedBy>
  <cp:revision>3</cp:revision>
  <cp:lastPrinted>2019-05-28T18:45:00Z</cp:lastPrinted>
  <dcterms:created xsi:type="dcterms:W3CDTF">2020-08-19T15:10:00Z</dcterms:created>
  <dcterms:modified xsi:type="dcterms:W3CDTF">2020-08-19T15:10:00Z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0x01010055039219ED8B0B448EF75342E1033FCE</vt:lpwstr>
  </property>
  <property fmtid="{D5CDD505-2E9C-101B-9397-08002B2CF9AE}" pid="3" name="ZOTERO_PREF_1">
    <vt:lpwstr>&lt;data data-version="3" zotero-version="5.0.89"&gt;&lt;session id="ZIbIyoCs"/&gt;&lt;style id="http://www.zotero.org/styles/future-science-group" hasBibliography="1" bibliographyStyleHasBeenSet="1"/&gt;&lt;prefs&gt;&lt;pref name="fieldType" value="Field"/&gt;&lt;pref name="automaticJou</vt:lpwstr>
  </property>
  <property fmtid="{D5CDD505-2E9C-101B-9397-08002B2CF9AE}" pid="4" name="ZOTERO_PREF_2">
    <vt:lpwstr>rnalAbbreviations" value="true"/&gt;&lt;/prefs&gt;&lt;/data&gt;</vt:lpwstr>
  </property>
</Properties>
</file>