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C4D" w:rsidRPr="00F3437F" w:rsidRDefault="00040C4D" w:rsidP="00040C4D">
      <w:pPr>
        <w:rPr>
          <w:rFonts w:ascii="Calibri" w:hAnsi="Calibri"/>
          <w:b/>
          <w:szCs w:val="22"/>
          <w:lang w:val="en-US"/>
        </w:rPr>
      </w:pPr>
      <w:r w:rsidRPr="00F3437F">
        <w:rPr>
          <w:rFonts w:ascii="Calibri" w:hAnsi="Calibri"/>
          <w:b/>
          <w:szCs w:val="22"/>
          <w:lang w:val="en-US"/>
        </w:rPr>
        <w:t>SUPPLEMENTAL MATERIALS</w:t>
      </w:r>
    </w:p>
    <w:p w:rsidR="00040C4D" w:rsidRPr="00F3437F" w:rsidRDefault="00040C4D" w:rsidP="00040C4D">
      <w:pPr>
        <w:rPr>
          <w:rFonts w:ascii="Calibri" w:hAnsi="Calibri"/>
          <w:szCs w:val="22"/>
          <w:lang w:val="en-US"/>
        </w:rPr>
      </w:pPr>
    </w:p>
    <w:p w:rsidR="00040C4D" w:rsidRPr="00F3437F" w:rsidRDefault="00040C4D" w:rsidP="00040C4D">
      <w:pPr>
        <w:rPr>
          <w:rFonts w:ascii="Calibri" w:hAnsi="Calibri"/>
          <w:b/>
          <w:lang w:val="en-US"/>
        </w:rPr>
      </w:pPr>
      <w:proofErr w:type="gramStart"/>
      <w:r w:rsidRPr="00F3437F">
        <w:rPr>
          <w:rFonts w:ascii="Calibri" w:hAnsi="Calibri"/>
          <w:b/>
          <w:lang w:val="en-US"/>
        </w:rPr>
        <w:t>Supplemental Table 1.</w:t>
      </w:r>
      <w:proofErr w:type="gramEnd"/>
      <w:r w:rsidRPr="00F3437F">
        <w:rPr>
          <w:rFonts w:ascii="Calibri" w:hAnsi="Calibri"/>
          <w:b/>
          <w:lang w:val="en-US"/>
        </w:rPr>
        <w:t xml:space="preserve"> Health state utility values</w:t>
      </w:r>
    </w:p>
    <w:p w:rsidR="00040C4D" w:rsidRPr="00F3437F" w:rsidRDefault="00040C4D" w:rsidP="00040C4D">
      <w:pPr>
        <w:rPr>
          <w:rFonts w:ascii="Calibri" w:hAnsi="Calibri"/>
          <w:b/>
          <w:lang w:val="en-US"/>
        </w:rPr>
      </w:pPr>
    </w:p>
    <w:tbl>
      <w:tblPr>
        <w:tblW w:w="0" w:type="auto"/>
        <w:tblInd w:w="108" w:type="dxa"/>
        <w:tblBorders>
          <w:top w:val="single" w:sz="18" w:space="0" w:color="003870"/>
          <w:bottom w:val="single" w:sz="12" w:space="0" w:color="003870"/>
          <w:insideH w:val="single" w:sz="8" w:space="0" w:color="808080"/>
        </w:tblBorders>
        <w:tblLook w:val="04A0" w:firstRow="1" w:lastRow="0" w:firstColumn="1" w:lastColumn="0" w:noHBand="0" w:noVBand="1"/>
      </w:tblPr>
      <w:tblGrid>
        <w:gridCol w:w="2231"/>
        <w:gridCol w:w="2026"/>
        <w:gridCol w:w="2286"/>
        <w:gridCol w:w="2205"/>
      </w:tblGrid>
      <w:tr w:rsidR="00040C4D" w:rsidRPr="00F3437F" w:rsidTr="00B81A05">
        <w:tc>
          <w:tcPr>
            <w:tcW w:w="3518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b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20"/>
                <w:szCs w:val="20"/>
                <w:lang w:val="en-US"/>
              </w:rPr>
              <w:t>Health state</w:t>
            </w:r>
          </w:p>
        </w:tc>
        <w:tc>
          <w:tcPr>
            <w:tcW w:w="3511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b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20"/>
                <w:szCs w:val="20"/>
                <w:lang w:val="en-US"/>
              </w:rPr>
              <w:t>Utility</w:t>
            </w:r>
          </w:p>
        </w:tc>
        <w:tc>
          <w:tcPr>
            <w:tcW w:w="3519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b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20"/>
                <w:szCs w:val="20"/>
                <w:lang w:val="en-US"/>
              </w:rPr>
              <w:t>Distribution in PSA</w:t>
            </w:r>
          </w:p>
        </w:tc>
        <w:tc>
          <w:tcPr>
            <w:tcW w:w="3518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b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20"/>
                <w:szCs w:val="20"/>
                <w:lang w:val="en-US"/>
              </w:rPr>
              <w:t>Reference</w:t>
            </w:r>
          </w:p>
        </w:tc>
      </w:tr>
      <w:tr w:rsidR="00040C4D" w:rsidRPr="00F3437F" w:rsidTr="00B81A05">
        <w:tc>
          <w:tcPr>
            <w:tcW w:w="3518" w:type="dxa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Euthymia</w:t>
            </w:r>
            <w:proofErr w:type="spellEnd"/>
          </w:p>
        </w:tc>
        <w:tc>
          <w:tcPr>
            <w:tcW w:w="3511" w:type="dxa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0.80</w:t>
            </w:r>
          </w:p>
        </w:tc>
        <w:tc>
          <w:tcPr>
            <w:tcW w:w="3519" w:type="dxa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Beta</w:t>
            </w:r>
          </w:p>
        </w:tc>
        <w:tc>
          <w:tcPr>
            <w:tcW w:w="3518" w:type="dxa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Revicki</w:t>
            </w:r>
            <w:proofErr w:type="spellEnd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 xml:space="preserve"> et al </w: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instrText xml:space="preserve"> ADDIN EN.CITE </w:instrTex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instrText xml:space="preserve"> ADDIN EN.CITE.DATA </w:instrTex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end"/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  <w:lang w:val="en-US"/>
              </w:rPr>
              <w:t>[32]</w: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3518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Manic</w:t>
            </w:r>
          </w:p>
        </w:tc>
        <w:tc>
          <w:tcPr>
            <w:tcW w:w="3511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0.24</w:t>
            </w:r>
          </w:p>
        </w:tc>
        <w:tc>
          <w:tcPr>
            <w:tcW w:w="3519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Beta</w:t>
            </w:r>
          </w:p>
        </w:tc>
        <w:tc>
          <w:tcPr>
            <w:tcW w:w="3518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Revicki</w:t>
            </w:r>
            <w:proofErr w:type="spellEnd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 xml:space="preserve"> et al </w: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instrText xml:space="preserve"> ADDIN EN.CITE </w:instrTex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instrText xml:space="preserve"> ADDIN EN.CITE.DATA </w:instrTex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end"/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  <w:lang w:val="en-US"/>
              </w:rPr>
              <w:t>[32]</w: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3518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 xml:space="preserve"> Depressive</w:t>
            </w:r>
          </w:p>
        </w:tc>
        <w:tc>
          <w:tcPr>
            <w:tcW w:w="3511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0.29</w:t>
            </w:r>
          </w:p>
        </w:tc>
        <w:tc>
          <w:tcPr>
            <w:tcW w:w="3519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Beta</w:t>
            </w:r>
          </w:p>
        </w:tc>
        <w:tc>
          <w:tcPr>
            <w:tcW w:w="3518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Revicki</w:t>
            </w:r>
            <w:proofErr w:type="spellEnd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 xml:space="preserve"> et al </w: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instrText xml:space="preserve"> ADDIN EN.CITE </w:instrTex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instrText xml:space="preserve"> ADDIN EN.CITE.DATA </w:instrTex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end"/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  <w:lang w:val="en-US"/>
              </w:rPr>
              <w:t>[32]</w: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3518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Mixed</w:t>
            </w:r>
          </w:p>
        </w:tc>
        <w:tc>
          <w:tcPr>
            <w:tcW w:w="3511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0.24</w:t>
            </w:r>
          </w:p>
        </w:tc>
        <w:tc>
          <w:tcPr>
            <w:tcW w:w="3519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Beta</w:t>
            </w:r>
          </w:p>
        </w:tc>
        <w:tc>
          <w:tcPr>
            <w:tcW w:w="3518" w:type="dxa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jc w:val="center"/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>Revicki</w:t>
            </w:r>
            <w:proofErr w:type="spellEnd"/>
            <w:r w:rsidRPr="00F3437F"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t xml:space="preserve"> et al </w: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instrText xml:space="preserve"> ADDIN EN.CITE </w:instrTex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instrText xml:space="preserve"> ADDIN EN.CITE.DATA </w:instrTex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end"/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  <w:lang w:val="en-US"/>
              </w:rPr>
              <w:t>[32]</w:t>
            </w:r>
            <w:r>
              <w:rPr>
                <w:rFonts w:ascii="Calibri" w:hAnsi="Calibri"/>
                <w:color w:val="000000"/>
                <w:sz w:val="20"/>
                <w:szCs w:val="20"/>
                <w:lang w:val="en-US"/>
              </w:rPr>
              <w:fldChar w:fldCharType="end"/>
            </w:r>
          </w:p>
        </w:tc>
      </w:tr>
    </w:tbl>
    <w:p w:rsidR="00040C4D" w:rsidRPr="00F3437F" w:rsidRDefault="00040C4D" w:rsidP="00040C4D">
      <w:pPr>
        <w:rPr>
          <w:rFonts w:ascii="Calibri" w:hAnsi="Calibri"/>
          <w:b/>
          <w:szCs w:val="22"/>
          <w:lang w:val="en-US"/>
        </w:rPr>
      </w:pPr>
      <w:r w:rsidRPr="00F3437F">
        <w:rPr>
          <w:lang w:val="en-US"/>
        </w:rPr>
        <w:br w:type="page"/>
      </w:r>
      <w:proofErr w:type="gramStart"/>
      <w:r w:rsidRPr="00F3437F">
        <w:rPr>
          <w:rFonts w:ascii="Calibri" w:hAnsi="Calibri"/>
          <w:b/>
          <w:szCs w:val="22"/>
          <w:lang w:val="en-US"/>
        </w:rPr>
        <w:lastRenderedPageBreak/>
        <w:t>Supplemental Table 2.</w:t>
      </w:r>
      <w:proofErr w:type="gramEnd"/>
      <w:r w:rsidRPr="00F3437F">
        <w:rPr>
          <w:rFonts w:ascii="Calibri" w:hAnsi="Calibri"/>
          <w:b/>
          <w:szCs w:val="22"/>
          <w:lang w:val="en-US"/>
        </w:rPr>
        <w:t xml:space="preserve"> Treatment emergent adverse event cost, utility decrement and frequency per year by treatment.</w:t>
      </w:r>
    </w:p>
    <w:p w:rsidR="00040C4D" w:rsidRPr="00F3437F" w:rsidRDefault="00040C4D" w:rsidP="00040C4D">
      <w:pPr>
        <w:rPr>
          <w:lang w:val="en-US"/>
        </w:rPr>
      </w:pPr>
    </w:p>
    <w:tbl>
      <w:tblPr>
        <w:tblW w:w="5000" w:type="pct"/>
        <w:tblBorders>
          <w:top w:val="single" w:sz="18" w:space="0" w:color="003870"/>
          <w:bottom w:val="single" w:sz="12" w:space="0" w:color="003870"/>
          <w:insideH w:val="single" w:sz="8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631"/>
        <w:gridCol w:w="859"/>
        <w:gridCol w:w="666"/>
        <w:gridCol w:w="476"/>
        <w:gridCol w:w="572"/>
        <w:gridCol w:w="928"/>
        <w:gridCol w:w="422"/>
        <w:gridCol w:w="655"/>
        <w:gridCol w:w="643"/>
        <w:gridCol w:w="613"/>
        <w:gridCol w:w="581"/>
        <w:gridCol w:w="422"/>
        <w:gridCol w:w="613"/>
      </w:tblGrid>
      <w:tr w:rsidR="00040C4D" w:rsidRPr="00F3437F" w:rsidTr="00B81A05">
        <w:tc>
          <w:tcPr>
            <w:tcW w:w="438" w:type="pct"/>
            <w:vMerge w:val="restart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Adverse Event</w:t>
            </w:r>
          </w:p>
        </w:tc>
        <w:tc>
          <w:tcPr>
            <w:tcW w:w="356" w:type="pct"/>
            <w:vMerge w:val="restart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Cost</w:t>
            </w:r>
          </w:p>
        </w:tc>
        <w:tc>
          <w:tcPr>
            <w:tcW w:w="485" w:type="pct"/>
            <w:vMerge w:val="restart"/>
            <w:tcBorders>
              <w:top w:val="single" w:sz="8" w:space="0" w:color="808080"/>
              <w:left w:val="nil"/>
              <w:bottom w:val="nil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Resources Use (per Year)</w:t>
            </w:r>
            <w:r>
              <w:rPr>
                <w:rFonts w:ascii="Calibri" w:hAnsi="Calibri"/>
                <w:color w:val="auto"/>
                <w:sz w:val="20"/>
                <w:szCs w:val="20"/>
                <w:lang w:val="en-US"/>
              </w:rPr>
              <w:t>*</w:t>
            </w:r>
          </w:p>
        </w:tc>
        <w:tc>
          <w:tcPr>
            <w:tcW w:w="376" w:type="pct"/>
            <w:vMerge w:val="restart"/>
            <w:tcBorders>
              <w:top w:val="single" w:sz="8" w:space="0" w:color="808080"/>
              <w:left w:val="nil"/>
              <w:bottom w:val="nil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vMerge w:val="restart"/>
            <w:tcBorders>
              <w:top w:val="single" w:sz="8" w:space="0" w:color="808080"/>
              <w:left w:val="nil"/>
              <w:bottom w:val="nil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Utility decrement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**</w:t>
            </w:r>
          </w:p>
        </w:tc>
        <w:tc>
          <w:tcPr>
            <w:tcW w:w="323" w:type="pct"/>
            <w:vMerge w:val="restart"/>
            <w:tcBorders>
              <w:top w:val="single" w:sz="8" w:space="0" w:color="808080"/>
              <w:left w:val="nil"/>
              <w:bottom w:val="nil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524" w:type="pct"/>
            <w:vMerge w:val="restart"/>
            <w:tcBorders>
              <w:top w:val="single" w:sz="8" w:space="0" w:color="808080"/>
              <w:left w:val="nil"/>
              <w:bottom w:val="nil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Reference for utility decrement</w:t>
            </w:r>
          </w:p>
        </w:tc>
        <w:tc>
          <w:tcPr>
            <w:tcW w:w="2229" w:type="pct"/>
            <w:gridSpan w:val="7"/>
            <w:tcBorders>
              <w:top w:val="single" w:sz="8" w:space="0" w:color="808080"/>
              <w:left w:val="nil"/>
              <w:bottom w:val="nil"/>
              <w:right w:val="nil"/>
              <w:tl2br w:val="nil"/>
              <w:tr2bl w:val="nil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Rate of AE employed in the model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**</w:t>
            </w:r>
          </w:p>
        </w:tc>
      </w:tr>
      <w:tr w:rsidR="00040C4D" w:rsidRPr="00F3437F" w:rsidTr="00B81A05">
        <w:tc>
          <w:tcPr>
            <w:tcW w:w="438" w:type="pct"/>
            <w:vMerge/>
            <w:tcBorders>
              <w:top w:val="single" w:sz="8" w:space="0" w:color="808080"/>
              <w:bottom w:val="single" w:sz="8" w:space="0" w:color="808080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356" w:type="pct"/>
            <w:vMerge/>
            <w:tcBorders>
              <w:top w:val="nil"/>
              <w:bottom w:val="single" w:sz="8" w:space="0" w:color="808080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485" w:type="pct"/>
            <w:vMerge/>
            <w:tcBorders>
              <w:bottom w:val="single" w:sz="8" w:space="0" w:color="808080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376" w:type="pct"/>
            <w:vMerge/>
            <w:tcBorders>
              <w:bottom w:val="single" w:sz="8" w:space="0" w:color="808080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vMerge/>
            <w:tcBorders>
              <w:bottom w:val="single" w:sz="8" w:space="0" w:color="808080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Merge/>
            <w:tcBorders>
              <w:bottom w:val="single" w:sz="8" w:space="0" w:color="808080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524" w:type="pct"/>
            <w:vMerge/>
            <w:tcBorders>
              <w:bottom w:val="single" w:sz="8" w:space="0" w:color="808080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238" w:type="pct"/>
            <w:tcBorders>
              <w:bottom w:val="single" w:sz="8" w:space="0" w:color="808080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 xml:space="preserve">AOM 400 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begin">
                <w:fldData xml:space="preserve">PEVuZE5vdGU+PENpdGU+PEF1dGhvcj5DYWxhYnJlc2U8L0F1dGhvcj48WWVhcj4yMDE3PC9ZZWFy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</w:fldData>
              </w:fldChar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instrText xml:space="preserve"> ADDIN EN.CITE </w:instrTex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begin">
                <w:fldData xml:space="preserve">PEVuZE5vdGU+PENpdGU+PEF1dGhvcj5DYWxhYnJlc2U8L0F1dGhvcj48WWVhcj4yMDE3PC9ZZWFy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</w:fldData>
              </w:fldChar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instrText xml:space="preserve"> ADDIN EN.CITE.DATA </w:instrTex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end"/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 w:cs="Cambria"/>
                <w:noProof/>
                <w:color w:val="auto"/>
                <w:sz w:val="20"/>
                <w:szCs w:val="20"/>
                <w:lang w:val="en-US"/>
              </w:rPr>
              <w:t>[18]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370" w:type="pct"/>
            <w:tcBorders>
              <w:bottom w:val="single" w:sz="8" w:space="0" w:color="808080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 xml:space="preserve">Risperidone 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begin"/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instrText xml:space="preserve"> ADDIN EN.CITE &lt;EndNote&gt;&lt;Cite&gt;&lt;Author&gt;injection&lt;/Author&gt;&lt;Year&gt;2007&lt;/Year&gt;&lt;RecNum&gt;25&lt;/RecNum&gt;&lt;DisplayText&gt;[25]&lt;/DisplayText&gt;&lt;record&gt;&lt;rec-number&gt;25&lt;/rec-number&gt;&lt;foreign-keys&gt;&lt;key app="EN" db-id="avzv2e0dovztegeapxdp9pvvdxa029arap2p" timestamp="1507739079"&gt;25&lt;/key&gt;&lt;/foreign-keys&gt;&lt;ref-type name="Pamphlet"&gt;24&lt;/ref-type&gt;&lt;contributors&gt;&lt;authors&gt;&lt;author&gt;RISPERDAL CONSTA® (risperidone) Long-acting injection,&lt;/author&gt;&lt;/authors&gt;&lt;/contributors&gt;&lt;titles&gt;&lt;title&gt;[prescribing information]&lt;/title&gt;&lt;/titles&gt;&lt;reprint-edition&gt;Not in File&lt;/reprint-edition&gt;&lt;dates&gt;&lt;year&gt;2007&lt;/year&gt;&lt;pub-dates&gt;&lt;date&gt;2007&lt;/date&gt;&lt;/pub-dates&gt;&lt;/dates&gt;&lt;pub-location&gt;Titusville, NJ&lt;/pub-location&gt;&lt;publisher&gt;&lt;style face="normal" font="default" size="100%"&gt;Janssen Pharmaceuticals, Inc. Available at: &lt;/style&gt;&lt;style face="underline" font="default" size="100%"&gt;https://www.janssencns.com/shared/product/risperdalconsta/prescribing-information.pdf&lt;/style&gt;&lt;/publisher&gt;&lt;label&gt;25&lt;/label&gt;&lt;urls&gt;&lt;/urls&gt;&lt;/record&gt;&lt;/Cite&gt;&lt;/EndNote&gt;</w:instrTex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 w:cs="Cambria"/>
                <w:noProof/>
                <w:color w:val="auto"/>
                <w:sz w:val="20"/>
                <w:szCs w:val="20"/>
                <w:lang w:val="en-US"/>
              </w:rPr>
              <w:t>[25]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363" w:type="pct"/>
            <w:tcBorders>
              <w:bottom w:val="single" w:sz="8" w:space="0" w:color="808080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proofErr w:type="spellStart"/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Paliperidone</w:t>
            </w:r>
            <w:proofErr w:type="spellEnd"/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 xml:space="preserve"> palmitate 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begin"/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instrText xml:space="preserve"> ADDIN EN.CITE &lt;EndNote&gt;&lt;Cite&gt;&lt;Author&gt;suspension&lt;/Author&gt;&lt;Year&gt;2009&lt;/Year&gt;&lt;RecNum&gt;24&lt;/RecNum&gt;&lt;DisplayText&gt;[27]&lt;/DisplayText&gt;&lt;record&gt;&lt;rec-number&gt;24&lt;/rec-number&gt;&lt;foreign-keys&gt;&lt;key app="EN" db-id="avzv2e0dovztegeapxdp9pvvdxa029arap2p" timestamp="1507739079"&gt;24&lt;/key&gt;&lt;/foreign-keys&gt;&lt;ref-type name="Pamphlet"&gt;24&lt;/ref-type&gt;&lt;contributors&gt;&lt;authors&gt;&lt;author&gt;INVEGA SUSTENNA® (paliperidone palmitate) extended-release injectable suspension,&lt;/author&gt;&lt;/authors&gt;&lt;/contributors&gt;&lt;titles&gt;&lt;title&gt;[prescribing information]&lt;/title&gt;&lt;/titles&gt;&lt;reprint-edition&gt;Not in File&lt;/reprint-edition&gt;&lt;dates&gt;&lt;year&gt;2009&lt;/year&gt;&lt;pub-dates&gt;&lt;date&gt;2009&lt;/date&gt;&lt;/pub-dates&gt;&lt;/dates&gt;&lt;pub-location&gt;Titusville, NJ&lt;/pub-location&gt;&lt;publisher&gt;&lt;style face="normal" font="default" size="100%"&gt;Janssen Pharmaceuticals, Inc. Available at: &lt;/style&gt;&lt;style face="underline" font="default" size="100%"&gt;https://www.invegatrinza.com/sites/www.invegatrinza.com/files/prescribing-information-invegasustenna.pdf?v=326&lt;/style&gt;&lt;/publisher&gt;&lt;label&gt;24&lt;/label&gt;&lt;urls&gt;&lt;/urls&gt;&lt;/record&gt;&lt;/Cite&gt;&lt;/EndNote&gt;</w:instrTex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 w:cs="Cambria"/>
                <w:noProof/>
                <w:color w:val="auto"/>
                <w:sz w:val="20"/>
                <w:szCs w:val="20"/>
                <w:lang w:val="en-US"/>
              </w:rPr>
              <w:t>[27]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end"/>
            </w: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346" w:type="pct"/>
            <w:tcBorders>
              <w:bottom w:val="single" w:sz="8" w:space="0" w:color="808080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proofErr w:type="spellStart"/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Cariprazine</w:t>
            </w:r>
            <w:proofErr w:type="spellEnd"/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begin"/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instrText xml:space="preserve"> ADDIN EN.CITE &lt;EndNote&gt;&lt;Cite&gt;&lt;Author&gt;capsules&lt;/Author&gt;&lt;Year&gt;2015&lt;/Year&gt;&lt;RecNum&gt;2&lt;/RecNum&gt;&lt;DisplayText&gt;[28]&lt;/DisplayText&gt;&lt;record&gt;&lt;rec-number&gt;2&lt;/rec-number&gt;&lt;foreign-keys&gt;&lt;key app="EN" db-id="avzv2e0dovztegeapxdp9pvvdxa029arap2p" timestamp="1507739059"&gt;2&lt;/key&gt;&lt;/foreign-keys&gt;&lt;ref-type name="Pamphlet"&gt;24&lt;/ref-type&gt;&lt;contributors&gt;&lt;authors&gt;&lt;author&gt;VRAYLAR® (cariprazine) capsules,&lt;/author&gt;&lt;/authors&gt;&lt;/contributors&gt;&lt;titles&gt;&lt;title&gt;[prescribing information]&lt;/title&gt;&lt;/titles&gt;&lt;reprint-edition&gt;Not in File&lt;/reprint-edition&gt;&lt;dates&gt;&lt;year&gt;2015&lt;/year&gt;&lt;pub-dates&gt;&lt;date&gt;1/1/2015&lt;/date&gt;&lt;/pub-dates&gt;&lt;/dates&gt;&lt;pub-location&gt;Irvine, CA&lt;/pub-location&gt;&lt;publisher&gt;Allergan USA, Inc.&lt;/publisher&gt;&lt;label&gt;2&lt;/label&gt;&lt;urls&gt;&lt;/urls&gt;&lt;/record&gt;&lt;/Cite&gt;&lt;/EndNote&gt;</w:instrTex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 w:cs="Cambria"/>
                <w:noProof/>
                <w:color w:val="auto"/>
                <w:sz w:val="20"/>
                <w:szCs w:val="20"/>
                <w:lang w:val="en-US"/>
              </w:rPr>
              <w:t>[28]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328" w:type="pct"/>
            <w:tcBorders>
              <w:bottom w:val="single" w:sz="8" w:space="0" w:color="808080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proofErr w:type="spellStart"/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>Asenapine</w:t>
            </w:r>
            <w:proofErr w:type="spellEnd"/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begin"/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instrText xml:space="preserve"> ADDIN EN.CITE &lt;EndNote&gt;&lt;Cite&gt;&lt;Author&gt;tablets&lt;/Author&gt;&lt;Year&gt;2009&lt;/Year&gt;&lt;RecNum&gt;67&lt;/RecNum&gt;&lt;DisplayText&gt;[29]&lt;/DisplayText&gt;&lt;record&gt;&lt;rec-number&gt;67&lt;/rec-number&gt;&lt;foreign-keys&gt;&lt;key app="EN" db-id="avzv2e0dovztegeapxdp9pvvdxa029arap2p" timestamp="1507739117"&gt;67&lt;/key&gt;&lt;/foreign-keys&gt;&lt;ref-type name="Pamphlet"&gt;24&lt;/ref-type&gt;&lt;contributors&gt;&lt;authors&gt;&lt;author&gt;SAPHRIS® (asenapine) sublingual tablets,&lt;/author&gt;&lt;/authors&gt;&lt;/contributors&gt;&lt;titles&gt;&lt;title&gt;[prescribing information]&lt;/title&gt;&lt;/titles&gt;&lt;reprint-edition&gt;Not in File&lt;/reprint-edition&gt;&lt;dates&gt;&lt;year&gt;2009&lt;/year&gt;&lt;pub-dates&gt;&lt;date&gt;2009&lt;/date&gt;&lt;/pub-dates&gt;&lt;/dates&gt;&lt;publisher&gt;&lt;style face="normal" font="default" size="100%"&gt;Merck Sharp &amp;amp; Dohme B.V. Available at: &lt;/style&gt;&lt;style face="underline" font="default" size="100%"&gt;https://www.accessdata.fda.gov/drugsatfda_docs/label/2015/022117s017s018s019lbl.pdf&lt;/style&gt;&lt;/publisher&gt;&lt;label&gt;91&lt;/label&gt;&lt;urls&gt;&lt;/urls&gt;&lt;/record&gt;&lt;/Cite&gt;&lt;/EndNote&gt;</w:instrTex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 w:cs="Cambria"/>
                <w:noProof/>
                <w:color w:val="auto"/>
                <w:sz w:val="20"/>
                <w:szCs w:val="20"/>
                <w:lang w:val="en-US"/>
              </w:rPr>
              <w:t>[29]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end"/>
            </w:r>
          </w:p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8" w:type="pct"/>
            <w:tcBorders>
              <w:bottom w:val="single" w:sz="8" w:space="0" w:color="808080"/>
            </w:tcBorders>
            <w:shd w:val="clear" w:color="auto" w:fill="FFFFFF"/>
            <w:vAlign w:val="center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t xml:space="preserve">BSC 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begin">
                <w:fldData xml:space="preserve">PEVuZE5vdGU+PENpdGU+PEF1dGhvcj5DYWxhYnJlc2U8L0F1dGhvcj48WWVhcj4yMDE3PC9ZZWFy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</w:fldData>
              </w:fldChar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instrText xml:space="preserve"> ADDIN EN.CITE </w:instrTex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begin">
                <w:fldData xml:space="preserve">PEVuZE5vdGU+PENpdGU+PEF1dGhvcj5DYWxhYnJlc2U8L0F1dGhvcj48WWVhcj4yMDE3PC9ZZWFy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</w:fldData>
              </w:fldChar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instrText xml:space="preserve"> ADDIN EN.CITE.DATA </w:instrTex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end"/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separate"/>
            </w:r>
            <w:r>
              <w:rPr>
                <w:rFonts w:ascii="Calibri" w:hAnsi="Calibri" w:cs="Cambria"/>
                <w:noProof/>
                <w:color w:val="auto"/>
                <w:sz w:val="20"/>
                <w:szCs w:val="20"/>
                <w:lang w:val="en-US"/>
              </w:rPr>
              <w:t>[18]</w:t>
            </w:r>
            <w:r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346" w:type="pct"/>
            <w:tcBorders>
              <w:bottom w:val="single" w:sz="8" w:space="0" w:color="808080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 w:cs="Cambria"/>
                <w:color w:val="auto"/>
                <w:sz w:val="20"/>
                <w:szCs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Abdominal Pain</w:t>
            </w:r>
          </w:p>
        </w:tc>
        <w:tc>
          <w:tcPr>
            <w:tcW w:w="356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bookmarkStart w:id="0" w:name="RANGE!G378:G400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$103.36</w:t>
            </w:r>
            <w:bookmarkEnd w:id="0"/>
          </w:p>
        </w:tc>
        <w:tc>
          <w:tcPr>
            <w:tcW w:w="485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2 outpatient visit, 1 course of antacid, 1 short course of pain killer</w:t>
            </w:r>
          </w:p>
        </w:tc>
        <w:tc>
          <w:tcPr>
            <w:tcW w:w="376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bookmarkStart w:id="1" w:name="RANGE!G35:G57"/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0.070</w:t>
            </w:r>
            <w:bookmarkEnd w:id="1"/>
          </w:p>
        </w:tc>
        <w:tc>
          <w:tcPr>
            <w:tcW w:w="323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&lt;EndNote&gt;&lt;Cite&gt;&lt;Author&gt;Excellence&lt;/Author&gt;&lt;Year&gt;2014&lt;/Year&gt;&lt;RecNum&gt;57&lt;/RecNum&gt;&lt;DisplayText&gt;[37]&lt;/DisplayText&gt;&lt;record&gt;&lt;rec-number&gt;57&lt;/rec-number&gt;&lt;foreign-keys&gt;&lt;key app="EN" db-id="avzv2e0dovztegeapxdp9pvvdxa029arap2p" timestamp="1507739108"&gt;57&lt;/key&gt;&lt;/foreign-keys&gt;&lt;ref-type name="Electronic Article"&gt;43&lt;/ref-type&gt;&lt;contributors&gt;&lt;authors&gt;&lt;author&gt;National Institute for Health and Clinical Excellence, &lt;/author&gt;&lt;/authors&gt;&lt;/contributors&gt;&lt;titles&gt;&lt;title&gt;Pixantrone monotherapy for treating multiply relapsed or refractory aggressive non-Hodgkin&amp;apos;s B-cell lymphoma - STA report [TA306]&lt;/title&gt;&lt;secondary-title&gt;NICE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File&lt;/reprint-edition&gt;&lt;dates&gt;&lt;year&gt;2014&lt;/year&gt;&lt;pub-dates&gt;&lt;date&gt;9/7/2017&lt;/date&gt;&lt;/pub-dates&gt;&lt;/dates&gt;&lt;label&gt;81&lt;/label&gt;&lt;urls&gt;&lt;related-urls&gt;&lt;url&gt;&lt;style face="underline" font="default" size="100%"&gt;https://www.nice.org.uk/guidance/ta306&lt;/style&gt;&lt;/url&gt;&lt;/related-urls&gt;&lt;/urls&gt;&lt;/record&gt;&lt;/Cite&gt;&lt;/EndNote&gt;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[37]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2.25%</w:t>
            </w:r>
          </w:p>
        </w:tc>
        <w:tc>
          <w:tcPr>
            <w:tcW w:w="328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Agitation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$107.98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2 outpatient visit, 1 course of low dose anxiolytic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0.050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lang w:val="en-US"/>
              </w:rPr>
              <w:t>Assumption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3.33%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 xml:space="preserve">Akathisia 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$107.98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2 outpatient visit, 1 course of low dose anxiolytic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0.115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&lt;EndNote&gt;&lt;Cite&gt;&lt;Author&gt;Lloyd&lt;/Author&gt;&lt;Year&gt;2006&lt;/Year&gt;&lt;RecNum&gt;60&lt;/RecNum&gt;&lt;DisplayText&gt;[33]&lt;/DisplayText&gt;&lt;record&gt;&lt;rec-number&gt;60&lt;/rec-number&gt;&lt;foreign-keys&gt;&lt;key app="EN" db-id="avzv2e0dovztegeapxdp9pvvdxa029arap2p" timestamp="1507739110"&gt;60&lt;/key&gt;&lt;/foreign-keys&gt;&lt;ref-type name="Journal Article"&gt;17&lt;/ref-type&gt;&lt;contributors&gt;&lt;authors&gt;&lt;author&gt;Lloyd, A.&lt;/author&gt;&lt;author&gt;Nafees, B.&lt;/author&gt;&lt;author&gt;Narewska, J.&lt;/author&gt;&lt;author&gt;Dewilde, S.&lt;/author&gt;&lt;author&gt;Watkins, J.&lt;/author&gt;&lt;/authors&gt;&lt;/contributors&gt;&lt;auth-address&gt;United BioSource Corporation, 20 Bloomsbury Square, London WC1A 2NS, UK. andrew.lloyd@unitedbiosource.com&lt;/auth-address&gt;&lt;titles&gt;&lt;title&gt;Health state utilities for metastatic breast cancer&lt;/title&gt;&lt;secondary-title&gt;Br. J. Cancer&lt;/secondary-title&gt;&lt;/titles&gt;&lt;periodical&gt;&lt;full-title&gt;Br. J. Cancer&lt;/full-title&gt;&lt;/periodical&gt;&lt;pages&gt;683-690&lt;/pages&gt;&lt;volume&gt;95&lt;/volume&gt;&lt;number&gt;6&lt;/number&gt;&lt;reprint-edition&gt;Not in File&lt;/reprint-edition&gt;&lt;keywords&gt;&lt;keyword&gt;Adult&lt;/keyword&gt;&lt;keyword&gt;Age Factors&lt;/keyword&gt;&lt;keyword&gt;Attitude to Health&lt;/keyword&gt;&lt;keyword&gt;Breast Neoplasms&lt;/keyword&gt;&lt;keyword&gt;Disease Progression&lt;/keyword&gt;&lt;keyword&gt;drug therapy&lt;/keyword&gt;&lt;keyword&gt;epidemiology&lt;/keyword&gt;&lt;keyword&gt;Female&lt;/keyword&gt;&lt;keyword&gt;Health Status&lt;/keyword&gt;&lt;keyword&gt;Humans&lt;/keyword&gt;&lt;keyword&gt;Male&lt;/keyword&gt;&lt;keyword&gt;Pilot Projects&lt;/keyword&gt;&lt;keyword&gt;psychology&lt;/keyword&gt;&lt;keyword&gt;Quality of Life&lt;/keyword&gt;&lt;keyword&gt;Recurrence&lt;/keyword&gt;&lt;keyword&gt;Sex Factors&lt;/keyword&gt;&lt;keyword&gt;Sickness Impact Profile&lt;/keyword&gt;&lt;keyword&gt;United Kingdom&lt;/keyword&gt;&lt;/keywords&gt;&lt;dates&gt;&lt;year&gt;2006&lt;/year&gt;&lt;pub-dates&gt;&lt;date&gt;9/18/2006&lt;/date&gt;&lt;/pub-dates&gt;&lt;/dates&gt;&lt;label&gt;84&lt;/label&gt;&lt;urls&gt;&lt;related-urls&gt;&lt;url&gt;http://www.ncbi.nlm.nih.gov/pubmed/16967055&lt;/url&gt;&lt;/related-urls&gt;&lt;/urls&gt;&lt;electronic-resource-num&gt;6603326 [pii];10.1038/sj.bjc.6603326 [doi]&lt;/electronic-resource-num&gt;&lt;/record&gt;&lt;/Cite&gt;&lt;/EndNote&gt;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[33]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21.21%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6.58%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12.78%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Anxiety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$107.98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2 outpatient visit, 1 course of low dose anxiolytic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0.050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lang w:val="en-US"/>
              </w:rPr>
              <w:t>Assumption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6.82%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2.68%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4.51%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lastRenderedPageBreak/>
              <w:t>Constipation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$0.00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Over the counter laxative, every day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0.047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&lt;EndNote&gt;&lt;Cite&gt;&lt;Author&gt;Excellence&lt;/Author&gt;&lt;Year&gt;2014&lt;/Year&gt;&lt;RecNum&gt;56&lt;/RecNum&gt;&lt;DisplayText&gt;[36]&lt;/DisplayText&gt;&lt;record&gt;&lt;rec-number&gt;56&lt;/rec-number&gt;&lt;foreign-keys&gt;&lt;key app="EN" db-id="avzv2e0dovztegeapxdp9pvvdxa029arap2p" timestamp="1507739107"&gt;56&lt;/key&gt;&lt;/foreign-keys&gt;&lt;ref-type name="Electronic Article"&gt;43&lt;/ref-type&gt;&lt;contributors&gt;&lt;authors&gt;&lt;author&gt;National Institute for Health and Clinical Excellence, &lt;/author&gt;&lt;/authors&gt;&lt;/contributors&gt;&lt;titles&gt;&lt;title&gt;Teriflunomide for treating relapsing--remitting multiple sclerosis&lt;/title&gt;&lt;secondary-title&gt;NICE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File&lt;/reprint-edition&gt;&lt;dates&gt;&lt;year&gt;2014&lt;/year&gt;&lt;pub-dates&gt;&lt;date&gt;9/7/2017&lt;/date&gt;&lt;/pub-dates&gt;&lt;/dates&gt;&lt;label&gt;80&lt;/label&gt;&lt;urls&gt;&lt;related-urls&gt;&lt;url&gt;&lt;style face="underline" font="default" size="100%"&gt;https://www.nice.org.uk/guidance/ta303&lt;/style&gt;&lt;/url&gt;&lt;/related-urls&gt;&lt;/urls&gt;&lt;/record&gt;&lt;/Cite&gt;&lt;/EndNote&gt;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[36]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2.73%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Decreased Appetite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$0.00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Short course of nutritional substitute (</w:t>
            </w:r>
            <w:proofErr w:type="spellStart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Fort</w:t>
            </w:r>
            <w:r>
              <w:rPr>
                <w:rFonts w:ascii="Calibri" w:hAnsi="Calibri" w:cs="Cambria"/>
                <w:sz w:val="20"/>
                <w:szCs w:val="20"/>
                <w:lang w:val="en-US"/>
              </w:rPr>
              <w:t>i</w:t>
            </w: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sip</w:t>
            </w:r>
            <w:proofErr w:type="spellEnd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), for 90 days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0.254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&lt;EndNote&gt;&lt;Cite&gt;&lt;Author&gt;Excellence&lt;/Author&gt;&lt;Year&gt;2014&lt;/Year&gt;&lt;RecNum&gt;57&lt;/RecNum&gt;&lt;DisplayText&gt;[37]&lt;/DisplayText&gt;&lt;record&gt;&lt;rec-number&gt;57&lt;/rec-number&gt;&lt;foreign-keys&gt;&lt;key app="EN" db-id="avzv2e0dovztegeapxdp9pvvdxa029arap2p" timestamp="1507739108"&gt;57&lt;/key&gt;&lt;/foreign-keys&gt;&lt;ref-type name="Electronic Article"&gt;43&lt;/ref-type&gt;&lt;contributors&gt;&lt;authors&gt;&lt;author&gt;National Institute for Health and Clinical Excellence, &lt;/author&gt;&lt;/authors&gt;&lt;/contributors&gt;&lt;titles&gt;&lt;title&gt;Pixantrone monotherapy for treating multiply relapsed or refractory aggressive non-Hodgkin&amp;apos;s B-cell lymphoma - STA report [TA306]&lt;/title&gt;&lt;secondary-title&gt;NICE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File&lt;/reprint-edition&gt;&lt;dates&gt;&lt;year&gt;2014&lt;/year&gt;&lt;pub-dates&gt;&lt;date&gt;9/7/2017&lt;/date&gt;&lt;/pub-dates&gt;&lt;/dates&gt;&lt;label&gt;81&lt;/label&gt;&lt;urls&gt;&lt;related-urls&gt;&lt;url&gt;&lt;style face="underline" font="default" size="100%"&gt;https://www.nice.org.uk/guidance/ta306&lt;/style&gt;&lt;/url&gt;&lt;/related-urls&gt;&lt;/urls&gt;&lt;/record&gt;&lt;/Cite&gt;&lt;/EndNote&gt;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[37]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8.33%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Diarrhea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$51.68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 xml:space="preserve">1 outpatient visit, week of daily rehydration fluid and </w:t>
            </w:r>
            <w:proofErr w:type="spellStart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loperamide</w:t>
            </w:r>
            <w:proofErr w:type="spellEnd"/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0.047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&lt;EndNote&gt;&lt;Cite&gt;&lt;Author&gt;Excellence&lt;/Author&gt;&lt;Year&gt;2014&lt;/Year&gt;&lt;RecNum&gt;56&lt;/RecNum&gt;&lt;DisplayText&gt;[36]&lt;/DisplayText&gt;&lt;record&gt;&lt;rec-number&gt;56&lt;/rec-number&gt;&lt;foreign-keys&gt;&lt;key app="EN" db-id="avzv2e0dovztegeapxdp9pvvdxa029arap2p" timestamp="1507739107"&gt;56&lt;/key&gt;&lt;/foreign-keys&gt;&lt;ref-type name="Electronic Article"&gt;43&lt;/ref-type&gt;&lt;contributors&gt;&lt;authors&gt;&lt;author&gt;National Institute for Health and Clinical Excellence, &lt;/author&gt;&lt;/authors&gt;&lt;/contributors&gt;&lt;titles&gt;&lt;title&gt;Teriflunomide for treating relapsing--remitting multiple sclerosis&lt;/title&gt;&lt;secondary-title&gt;NICE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File&lt;/reprint-edition&gt;&lt;dates&gt;&lt;year&gt;2014&lt;/year&gt;&lt;pub-dates&gt;&lt;date&gt;9/7/2017&lt;/date&gt;&lt;/pub-dates&gt;&lt;/dates&gt;&lt;label&gt;80&lt;/label&gt;&lt;urls&gt;&lt;related-urls&gt;&lt;url&gt;&lt;style face="underline" font="default" size="100%"&gt;https://www.nice.org.uk/guidance/ta303&lt;/style&gt;&lt;/url&gt;&lt;/related-urls&gt;&lt;/urls&gt;&lt;/record&gt;&lt;/Cite&gt;&lt;/EndNote&gt;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[36]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1.77%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Dizziness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$103.36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 xml:space="preserve">2 outpatient visits, 1 short course of </w:t>
            </w:r>
            <w:proofErr w:type="spellStart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cinnar</w:t>
            </w:r>
            <w:r>
              <w:rPr>
                <w:rFonts w:ascii="Calibri" w:hAnsi="Calibri" w:cs="Cambria"/>
                <w:sz w:val="20"/>
                <w:szCs w:val="20"/>
                <w:lang w:val="en-US"/>
              </w:rPr>
              <w:t>i</w:t>
            </w: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zine</w:t>
            </w:r>
            <w:proofErr w:type="spellEnd"/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0.048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&lt;EndNote&gt;&lt;Cite&gt;&lt;Author&gt;Excellence&lt;/Author&gt;&lt;Year&gt;2014&lt;/Year&gt;&lt;RecNum&gt;56&lt;/RecNum&gt;&lt;DisplayText&gt;[36]&lt;/DisplayText&gt;&lt;record&gt;&lt;rec-number&gt;56&lt;/rec-number&gt;&lt;foreign-keys&gt;&lt;key app="EN" db-id="avzv2e0dovztegeapxdp9pvvdxa029arap2p" timestamp="1507739107"&gt;56&lt;/key&gt;&lt;/foreign-keys&gt;&lt;ref-type name="Electronic Article"&gt;43&lt;/ref-type&gt;&lt;contributors&gt;&lt;authors&gt;&lt;author&gt;National Institute for Health and Clinical Excellence, &lt;/author&gt;&lt;/authors&gt;&lt;/contributors&gt;&lt;titles&gt;&lt;title&gt;Teriflunomide for treating relapsing--remitting multiple sclerosis&lt;/title&gt;&lt;secondary-title&gt;NICE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File&lt;/reprint-edition&gt;&lt;dates&gt;&lt;year&gt;2014&lt;/year&gt;&lt;pub-dates&gt;&lt;date&gt;9/7/2017&lt;/date&gt;&lt;/pub-dates&gt;&lt;/dates&gt;&lt;label&gt;80&lt;/label&gt;&lt;urls&gt;&lt;related-urls&gt;&lt;url&gt;&lt;style face="underline" font="default" size="100%"&gt;https://www.nice.org.uk/guidance/ta303&lt;/style&gt;&lt;/url&gt;&lt;/related-urls&gt;&lt;/urls&gt;&lt;/record&gt;&lt;/Cite&gt;&lt;/EndNote&gt;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[36]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1.54%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2.09%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11.00%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 xml:space="preserve">Dry Mouth 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$206.72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 xml:space="preserve">4 outpatient visits, daily </w:t>
            </w:r>
            <w:proofErr w:type="spellStart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biotene</w:t>
            </w:r>
            <w:proofErr w:type="spellEnd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 xml:space="preserve"> gel or lozenges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0.070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&lt;EndNote&gt;&lt;Cite&gt;&lt;Author&gt;Excellence&lt;/Author&gt;&lt;Year&gt;2010&lt;/Year&gt;&lt;RecNum&gt;54&lt;/RecNum&gt;&lt;DisplayText&gt;[34]&lt;/DisplayText&gt;&lt;record&gt;&lt;rec-number&gt;54&lt;/rec-number&gt;&lt;foreign-keys&gt;&lt;key app="EN" db-id="avzv2e0dovztegeapxdp9pvvdxa029arap2p" timestamp="1507739105"&gt;54&lt;/key&gt;&lt;/foreign-keys&gt;&lt;ref-type name="Electronic Article"&gt;43&lt;/ref-type&gt;&lt;contributors&gt;&lt;authors&gt;&lt;author&gt;National Institute for Health and Clinical Excellence,&lt;/author&gt;&lt;/authors&gt;&lt;/contributors&gt;&lt;titles&gt;&lt;title&gt;Dronedarone for the treatment of non-permanent atrial fibrillation. Manufacturer/sponsor submission of evidence [TA197]&lt;/title&gt;&lt;secondary-title&gt;NICE&lt;/secondary-title&gt;&lt;/titles&gt;&lt;periodical&gt;&lt;full-title&gt;NICE&lt;/full-title&gt;&lt;/periodical&gt;&lt;section&gt;2010&lt;/section&gt;&lt;reprint-edition&gt;Not in File&lt;/reprint-edition&gt;&lt;dates&gt;&lt;year&gt;2010&lt;/year&gt;&lt;pub-dates&gt;&lt;date&gt;9/7/2017&lt;/date&gt;&lt;/pub-dates&gt;&lt;/dates&gt;&lt;label&gt;78&lt;/label&gt;&lt;urls&gt;&lt;related-urls&gt;&lt;url&gt;&lt;style face="underline" font="default" size="100%"&gt;https://www.nice.org.uk/guidance/ta197&lt;/style&gt;&lt;/url&gt;&lt;/related-urls&gt;&lt;/urls&gt;&lt;/record&gt;&lt;/Cite&gt;&lt;/EndNote&gt;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[34]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Dyspepsia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$103.36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2 outpatient visit, daily antacid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0.070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&lt;EndNote&gt;&lt;Cite&gt;&lt;Author&gt;Excellence&lt;/Author&gt;&lt;Year&gt;2010&lt;/Year&gt;&lt;RecNum&gt;54&lt;/RecNum&gt;&lt;DisplayText&gt;[34]&lt;/DisplayText&gt;&lt;record&gt;&lt;rec-number&gt;54&lt;/rec-number&gt;&lt;foreign-keys&gt;&lt;key app="EN" db-id="avzv2e0dovztegeapxdp9pvvdxa029arap2p" timestamp="1507739105"&gt;54&lt;/key&gt;&lt;/foreign-keys&gt;&lt;ref-type name="Electronic Article"&gt;43&lt;/ref-type&gt;&lt;contributors&gt;&lt;authors&gt;&lt;author&gt;National Institute for Health and Clinical Excellence,&lt;/author&gt;&lt;/authors&gt;&lt;/contributors&gt;&lt;titles&gt;&lt;title&gt;Dronedarone for the treatment of non-permanent atrial fibrillation. Manufacturer/sponsor submission of evidence [TA197]&lt;/title&gt;&lt;secondary-title&gt;NICE&lt;/secondary-title&gt;&lt;/titles&gt;&lt;periodical&gt;&lt;full-title&gt;NICE&lt;/full-title&gt;&lt;/periodical&gt;&lt;section&gt;2010&lt;/section&gt;&lt;reprint-edition&gt;Not in File&lt;/reprint-edition&gt;&lt;dates&gt;&lt;year&gt;2010&lt;/year&gt;&lt;pub-dates&gt;&lt;date&gt;9/7/2017&lt;/date&gt;&lt;/pub-dates&gt;&lt;/dates&gt;&lt;label&gt;78&lt;/label&gt;&lt;urls&gt;&lt;related-urls&gt;&lt;url&gt;&lt;style face="underline" font="default" size="100%"&gt;https://www.nice.org.uk/guidance/ta197&lt;/style&gt;&lt;/url&gt;&lt;/related-urls&gt;&lt;/urls&gt;&lt;/record&gt;&lt;/Cite&gt;&lt;/EndNote&gt;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[34]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2.57%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lastRenderedPageBreak/>
              <w:t>Extrapyramidal disorder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$266.99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4 outpatient visits, daily low dose anxiolytic, daily propranolol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0.074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3E4DBC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&lt;EndNote&gt;&lt;Cite&gt;&lt;Author&gt;Lachaine&lt;/Author&gt;&lt;Year&gt;2014&lt;/Year&gt;&lt;RecNum&gt;68&lt;/RecNum&gt;&lt;DisplayText&gt;[48]&lt;/DisplayText&gt;&lt;record&gt;&lt;rec-number&gt;68&lt;/rec-number&gt;&lt;foreign-keys&gt;&lt;key app="EN" db-id="avzv2e0dovztegeapxdp9pvvdxa029arap2p" timestamp="1507739118"&gt;68&lt;/key&gt;&lt;/foreign-keys&gt;&lt;ref-type name="Journal Article"&gt;17&lt;/ref-type&gt;&lt;contributors&gt;&lt;authors&gt;&lt;author&gt;Lachaine, J.&lt;/author&gt;&lt;author&gt;Beauchemin, C.&lt;/author&gt;&lt;author&gt;Mathurin, K.&lt;/author&gt;&lt;author&gt;Gilbert, D.&lt;/author&gt;&lt;author&gt;Beillat, M.&lt;/author&gt;&lt;/authors&gt;&lt;/contributors&gt;&lt;auth-address&gt;Faculty of Pharmacy, University of Montreal , Montreal, Quebec , Canada&lt;/auth-address&gt;&lt;titles&gt;&lt;title&gt;Cost-effectiveness of asenapine in the treatment of schizophrenia in Canada&lt;/title&gt;&lt;secondary-title&gt;J. Med. Econ&lt;/secondary-title&gt;&lt;/titles&gt;&lt;periodical&gt;&lt;full-title&gt;J. Med. Econ&lt;/full-title&gt;&lt;/periodical&gt;&lt;pages&gt;296-304&lt;/pages&gt;&lt;volume&gt;17&lt;/volume&gt;&lt;number&gt;4&lt;/number&gt;&lt;reprint-edition&gt;Not in File&lt;/reprint-edition&gt;&lt;keywords&gt;&lt;keyword&gt;Antipsychotic Agents&lt;/keyword&gt;&lt;keyword&gt;Aripiprazole&lt;/keyword&gt;&lt;keyword&gt;Canada&lt;/keyword&gt;&lt;keyword&gt;Cost-Benefit Analysis&lt;/keyword&gt;&lt;keyword&gt;Decision Trees&lt;/keyword&gt;&lt;keyword&gt;drug therapy&lt;/keyword&gt;&lt;keyword&gt;economics&lt;/keyword&gt;&lt;keyword&gt;Health Services&lt;/keyword&gt;&lt;keyword&gt;Heterocyclic Compounds,4 or More Rings&lt;/keyword&gt;&lt;keyword&gt;Humans&lt;/keyword&gt;&lt;keyword&gt;Markov Chains&lt;/keyword&gt;&lt;keyword&gt;methods&lt;/keyword&gt;&lt;keyword&gt;Models,Economic&lt;/keyword&gt;&lt;keyword&gt;Probability&lt;/keyword&gt;&lt;keyword&gt;Schizophrenia&lt;/keyword&gt;&lt;keyword&gt;therapeutic use&lt;/keyword&gt;&lt;keyword&gt;utilization&lt;/keyword&gt;&lt;keyword&gt;Weight Gain&lt;/keyword&gt;&lt;/keywords&gt;&lt;dates&gt;&lt;year&gt;2014&lt;/year&gt;&lt;pub-dates&gt;&lt;date&gt;4/2014&lt;/date&gt;&lt;/pub-dates&gt;&lt;/dates&gt;&lt;label&gt;92&lt;/label&gt;&lt;urls&gt;&lt;related-urls&gt;&lt;url&gt;http://www.ncbi.nlm.nih.gov/pubmed/24564402&lt;/url&gt;&lt;/related-urls&gt;&lt;/urls&gt;&lt;electronic-resource-num&gt;10.3111/13696998.2014.897627 [doi]&lt;/electronic-resource-num&gt;&lt;/record&gt;&lt;/Cite&gt;&lt;/EndNote&gt;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[4</w:t>
            </w:r>
            <w:r w:rsidR="003E4DBC">
              <w:rPr>
                <w:rFonts w:ascii="Calibri" w:hAnsi="Calibri" w:cs="Calibri"/>
                <w:noProof/>
                <w:sz w:val="20"/>
                <w:lang w:val="en-US"/>
              </w:rPr>
              <w:t>9</w:t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  <w:r w:rsidR="003E4DBC" w:rsidRPr="003E4DBC">
              <w:rPr>
                <w:rFonts w:ascii="Calibri" w:hAnsi="Calibri" w:cs="Calibri"/>
                <w:b/>
                <w:sz w:val="20"/>
                <w:vertAlign w:val="superscript"/>
                <w:lang w:val="en-US"/>
              </w:rPr>
              <w:t>†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29.17%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0.89%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8.83%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 xml:space="preserve">Fatigue 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$0.00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Short course of nutritional substitute (</w:t>
            </w:r>
            <w:proofErr w:type="spellStart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Fort</w:t>
            </w:r>
            <w:r>
              <w:rPr>
                <w:rFonts w:ascii="Calibri" w:hAnsi="Calibri" w:cs="Cambria"/>
                <w:sz w:val="20"/>
                <w:szCs w:val="20"/>
                <w:lang w:val="en-US"/>
              </w:rPr>
              <w:t>i</w:t>
            </w: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sip</w:t>
            </w:r>
            <w:proofErr w:type="spellEnd"/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), for 90 days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0.115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&lt;EndNote&gt;&lt;Cite&gt;&lt;Author&gt;Lloyd&lt;/Author&gt;&lt;Year&gt;2006&lt;/Year&gt;&lt;RecNum&gt;60&lt;/RecNum&gt;&lt;DisplayText&gt;[33]&lt;/DisplayText&gt;&lt;record&gt;&lt;rec-number&gt;60&lt;/rec-number&gt;&lt;foreign-keys&gt;&lt;key app="EN" db-id="avzv2e0dovztegeapxdp9pvvdxa029arap2p" timestamp="1507739110"&gt;60&lt;/key&gt;&lt;/foreign-keys&gt;&lt;ref-type name="Journal Article"&gt;17&lt;/ref-type&gt;&lt;contributors&gt;&lt;authors&gt;&lt;author&gt;Lloyd, A.&lt;/author&gt;&lt;author&gt;Nafees, B.&lt;/author&gt;&lt;author&gt;Narewska, J.&lt;/author&gt;&lt;author&gt;Dewilde, S.&lt;/author&gt;&lt;author&gt;Watkins, J.&lt;/author&gt;&lt;/authors&gt;&lt;/contributors&gt;&lt;auth-address&gt;United BioSource Corporation, 20 Bloomsbury Square, London WC1A 2NS, UK. andrew.lloyd@unitedbiosource.com&lt;/auth-address&gt;&lt;titles&gt;&lt;title&gt;Health state utilities for metastatic breast cancer&lt;/title&gt;&lt;secondary-title&gt;Br. J. Cancer&lt;/secondary-title&gt;&lt;/titles&gt;&lt;periodical&gt;&lt;full-title&gt;Br. J. Cancer&lt;/full-title&gt;&lt;/periodical&gt;&lt;pages&gt;683-690&lt;/pages&gt;&lt;volume&gt;95&lt;/volume&gt;&lt;number&gt;6&lt;/number&gt;&lt;reprint-edition&gt;Not in File&lt;/reprint-edition&gt;&lt;keywords&gt;&lt;keyword&gt;Adult&lt;/keyword&gt;&lt;keyword&gt;Age Factors&lt;/keyword&gt;&lt;keyword&gt;Attitude to Health&lt;/keyword&gt;&lt;keyword&gt;Breast Neoplasms&lt;/keyword&gt;&lt;keyword&gt;Disease Progression&lt;/keyword&gt;&lt;keyword&gt;drug therapy&lt;/keyword&gt;&lt;keyword&gt;epidemiology&lt;/keyword&gt;&lt;keyword&gt;Female&lt;/keyword&gt;&lt;keyword&gt;Health Status&lt;/keyword&gt;&lt;keyword&gt;Humans&lt;/keyword&gt;&lt;keyword&gt;Male&lt;/keyword&gt;&lt;keyword&gt;Pilot Projects&lt;/keyword&gt;&lt;keyword&gt;psychology&lt;/keyword&gt;&lt;keyword&gt;Quality of Life&lt;/keyword&gt;&lt;keyword&gt;Recurrence&lt;/keyword&gt;&lt;keyword&gt;Sex Factors&lt;/keyword&gt;&lt;keyword&gt;Sickness Impact Profile&lt;/keyword&gt;&lt;keyword&gt;United Kingdom&lt;/keyword&gt;&lt;/keywords&gt;&lt;dates&gt;&lt;year&gt;2006&lt;/year&gt;&lt;pub-dates&gt;&lt;date&gt;9/18/2006&lt;/date&gt;&lt;/pub-dates&gt;&lt;/dates&gt;&lt;label&gt;84&lt;/label&gt;&lt;urls&gt;&lt;related-urls&gt;&lt;url&gt;http://www.ncbi.nlm.nih.gov/pubmed/16967055&lt;/url&gt;&lt;/related-urls&gt;&lt;/urls&gt;&lt;electronic-resource-num&gt;6603326 [pii];10.1038/sj.bjc.6603326 [doi]&lt;/electronic-resource-num&gt;&lt;/record&gt;&lt;/Cite&gt;&lt;/EndNote&gt;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[33]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1.44%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Headache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$51.68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1 outpatient visit, 1 course of pain killer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0.030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&lt;EndNote&gt;&lt;Cite&gt;&lt;Author&gt;Excellence&lt;/Author&gt;&lt;Year&gt;2014&lt;/Year&gt;&lt;RecNum&gt;56&lt;/RecNum&gt;&lt;DisplayText&gt;[36]&lt;/DisplayText&gt;&lt;record&gt;&lt;rec-number&gt;56&lt;/rec-number&gt;&lt;foreign-keys&gt;&lt;key app="EN" db-id="avzv2e0dovztegeapxdp9pvvdxa029arap2p" timestamp="1507739107"&gt;56&lt;/key&gt;&lt;/foreign-keys&gt;&lt;ref-type name="Electronic Article"&gt;43&lt;/ref-type&gt;&lt;contributors&gt;&lt;authors&gt;&lt;author&gt;National Institute for Health and Clinical Excellence, &lt;/author&gt;&lt;/authors&gt;&lt;/contributors&gt;&lt;titles&gt;&lt;title&gt;Teriflunomide for treating relapsing--remitting multiple sclerosis&lt;/title&gt;&lt;secondary-title&gt;NICE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File&lt;/reprint-edition&gt;&lt;dates&gt;&lt;year&gt;2014&lt;/year&gt;&lt;pub-dates&gt;&lt;date&gt;9/7/2017&lt;/date&gt;&lt;/pub-dates&gt;&lt;/dates&gt;&lt;label&gt;80&lt;/label&gt;&lt;urls&gt;&lt;related-urls&gt;&lt;url&gt;&lt;style face="underline" font="default" size="100%"&gt;https://www.nice.org.uk/guidance/ta303&lt;/style&gt;&lt;/url&gt;&lt;/related-urls&gt;&lt;/urls&gt;&lt;/record&gt;&lt;/Cite&gt;&lt;/EndNote&gt;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[36]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4.95%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4.33%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12.00%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Hypertension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$211.75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4 outpatient visits, daily anti-hypertensive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0.124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&lt;EndNote&gt;&lt;Cite&gt;&lt;Author&gt;Excellence&lt;/Author&gt;&lt;Year&gt;2012&lt;/Year&gt;&lt;RecNum&gt;55&lt;/RecNum&gt;&lt;DisplayText&gt;[35]&lt;/DisplayText&gt;&lt;record&gt;&lt;rec-number&gt;55&lt;/rec-number&gt;&lt;foreign-keys&gt;&lt;key app="EN" db-id="avzv2e0dovztegeapxdp9pvvdxa029arap2p" timestamp="1507739106"&gt;55&lt;/key&gt;&lt;/foreign-keys&gt;&lt;ref-type name="Electronic Article"&gt;43&lt;/ref-type&gt;&lt;contributors&gt;&lt;authors&gt;&lt;author&gt;National Institute for Health and Clinical Excellence, &lt;/author&gt;&lt;/authors&gt;&lt;/contributors&gt;&lt;titles&gt;&lt;title&gt;Eribulin for the treatment of locally advanced or metastatic breast cancer. Pre-meeting briefing [TA250]&lt;/title&gt;&lt;secondary-title&gt;NICE website&lt;/secondary-title&gt;&lt;/titles&gt;&lt;periodical&gt;&lt;full-title&gt;NICE website&lt;/full-title&gt;&lt;/periodical&gt;&lt;section&gt;2012&lt;/section&gt;&lt;reprint-edition&gt;Not in File&lt;/reprint-edition&gt;&lt;dates&gt;&lt;year&gt;2012&lt;/year&gt;&lt;pub-dates&gt;&lt;date&gt;9/7/2017&lt;/date&gt;&lt;/pub-dates&gt;&lt;/dates&gt;&lt;label&gt;79&lt;/label&gt;&lt;urls&gt;&lt;related-urls&gt;&lt;url&gt;&lt;style face="underline" font="default" size="100%"&gt;https://www.nice.org.uk/guidance/ta250&lt;/style&gt;&lt;/url&gt;&lt;/related-urls&gt;&lt;/urls&gt;&lt;/record&gt;&lt;/Cite&gt;&lt;/EndNote&gt;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[35]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1.44%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ISR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$51.68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1 outpatient visit, 1 topical anti-histamine cream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0.011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&lt;EndNote&gt;&lt;Cite&gt;&lt;Author&gt;Excellence&lt;/Author&gt;&lt;Year&gt;2014&lt;/Year&gt;&lt;RecNum&gt;56&lt;/RecNum&gt;&lt;DisplayText&gt;[36]&lt;/DisplayText&gt;&lt;record&gt;&lt;rec-number&gt;56&lt;/rec-number&gt;&lt;foreign-keys&gt;&lt;key app="EN" db-id="avzv2e0dovztegeapxdp9pvvdxa029arap2p" timestamp="1507739107"&gt;56&lt;/key&gt;&lt;/foreign-keys&gt;&lt;ref-type name="Electronic Article"&gt;43&lt;/ref-type&gt;&lt;contributors&gt;&lt;authors&gt;&lt;author&gt;National Institute for Health and Clinical Excellence, &lt;/author&gt;&lt;/authors&gt;&lt;/contributors&gt;&lt;titles&gt;&lt;title&gt;Teriflunomide for treating relapsing--remitting multiple sclerosis&lt;/title&gt;&lt;secondary-title&gt;NICE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File&lt;/reprint-edition&gt;&lt;dates&gt;&lt;year&gt;2014&lt;/year&gt;&lt;pub-dates&gt;&lt;date&gt;9/7/2017&lt;/date&gt;&lt;/pub-dates&gt;&lt;/dates&gt;&lt;label&gt;80&lt;/label&gt;&lt;urls&gt;&lt;related-urls&gt;&lt;url&gt;&lt;style face="underline" font="default" size="100%"&gt;https://www.nice.org.uk/guidance/ta303&lt;/style&gt;&lt;/url&gt;&lt;/related-urls&gt;&lt;/urls&gt;&lt;/record&gt;&lt;/Cite&gt;&lt;/EndNote&gt;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[36]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2.92%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 xml:space="preserve">Insomnia 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$266.99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 xml:space="preserve">4 outpatient visits, daily low dose </w:t>
            </w: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lastRenderedPageBreak/>
              <w:t>anxiolytic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0.060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&lt;EndNote&gt;&lt;Cite&gt;&lt;Author&gt;Excellence&lt;/Author&gt;&lt;Year&gt;2010&lt;/Year&gt;&lt;RecNum&gt;54&lt;/RecNum&gt;&lt;DisplayText&gt;[34]&lt;/DisplayText&gt;&lt;record&gt;&lt;rec-number&gt;54&lt;/rec-number&gt;&lt;foreign-keys&gt;&lt;key app="EN" db-id="avzv2e0dovztegeapxdp9pvvdxa029arap2p" timestamp="1507739105"&gt;54&lt;/key&gt;&lt;/foreign-keys&gt;&lt;ref-type name="Electronic Article"&gt;43&lt;/ref-type&gt;&lt;contributors&gt;&lt;authors&gt;&lt;author&gt;National Institute for Health and Clinical Excellence,&lt;/author&gt;&lt;/authors&gt;&lt;/contributors&gt;&lt;titles&gt;&lt;title&gt;Dronedarone for the treatment of non-permanent atrial fibrillation. Manufacturer/sponsor submission of evidence [TA197]&lt;/title&gt;&lt;secondary-title&gt;NICE&lt;/secondary-title&gt;&lt;/titles&gt;&lt;periodical&gt;&lt;full-title&gt;NICE&lt;/full-title&gt;&lt;/periodical&gt;&lt;section&gt;2010&lt;/section&gt;&lt;reprint-edition&gt;Not in File&lt;/reprint-edition&gt;&lt;dates&gt;&lt;year&gt;2010&lt;/year&gt;&lt;pub-dates&gt;&lt;date&gt;9/7/2017&lt;/date&gt;&lt;/pub-dates&gt;&lt;/dates&gt;&lt;label&gt;78&lt;/label&gt;&lt;urls&gt;&lt;related-urls&gt;&lt;url&gt;&lt;style face="underline" font="default" size="100%"&gt;https://www.nice.org.uk/guidance/ta197&lt;/style&gt;&lt;/url&gt;&lt;/related-urls&gt;&lt;/urls&gt;&lt;/record&gt;&lt;/Cite&gt;&lt;/EndNote&gt;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[34]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7.58%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2.73%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6.00%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7.52%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lastRenderedPageBreak/>
              <w:t>Nausea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$57.28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1 outpatient visit, 1 course of anti-emetics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0.048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&lt;EndNote&gt;&lt;Cite&gt;&lt;Author&gt;Excellence&lt;/Author&gt;&lt;Year&gt;2014&lt;/Year&gt;&lt;RecNum&gt;56&lt;/RecNum&gt;&lt;DisplayText&gt;[36]&lt;/DisplayText&gt;&lt;record&gt;&lt;rec-number&gt;56&lt;/rec-number&gt;&lt;foreign-keys&gt;&lt;key app="EN" db-id="avzv2e0dovztegeapxdp9pvvdxa029arap2p" timestamp="1507739107"&gt;56&lt;/key&gt;&lt;/foreign-keys&gt;&lt;ref-type name="Electronic Article"&gt;43&lt;/ref-type&gt;&lt;contributors&gt;&lt;authors&gt;&lt;author&gt;National Institute for Health and Clinical Excellence, &lt;/author&gt;&lt;/authors&gt;&lt;/contributors&gt;&lt;titles&gt;&lt;title&gt;Teriflunomide for treating relapsing--remitting multiple sclerosis&lt;/title&gt;&lt;secondary-title&gt;NICE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File&lt;/reprint-edition&gt;&lt;dates&gt;&lt;year&gt;2014&lt;/year&gt;&lt;pub-dates&gt;&lt;date&gt;9/7/2017&lt;/date&gt;&lt;/pub-dates&gt;&lt;/dates&gt;&lt;label&gt;80&lt;/label&gt;&lt;urls&gt;&lt;related-urls&gt;&lt;url&gt;&lt;style face="underline" font="default" size="100%"&gt;https://www.nice.org.uk/guidance/ta303&lt;/style&gt;&lt;/url&gt;&lt;/related-urls&gt;&lt;/urls&gt;&lt;/record&gt;&lt;/Cite&gt;&lt;/EndNote&gt;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[36]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3.85%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Restlessness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$107.98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2 outpatient visit, 1 course of low dose anxiolytic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0.115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&lt;EndNote&gt;&lt;Cite&gt;&lt;Author&gt;Lloyd&lt;/Author&gt;&lt;Year&gt;2006&lt;/Year&gt;&lt;RecNum&gt;60&lt;/RecNum&gt;&lt;DisplayText&gt;[33]&lt;/DisplayText&gt;&lt;record&gt;&lt;rec-number&gt;60&lt;/rec-number&gt;&lt;foreign-keys&gt;&lt;key app="EN" db-id="avzv2e0dovztegeapxdp9pvvdxa029arap2p" timestamp="1507739110"&gt;60&lt;/key&gt;&lt;/foreign-keys&gt;&lt;ref-type name="Journal Article"&gt;17&lt;/ref-type&gt;&lt;contributors&gt;&lt;authors&gt;&lt;author&gt;Lloyd, A.&lt;/author&gt;&lt;author&gt;Nafees, B.&lt;/author&gt;&lt;author&gt;Narewska, J.&lt;/author&gt;&lt;author&gt;Dewilde, S.&lt;/author&gt;&lt;author&gt;Watkins, J.&lt;/author&gt;&lt;/authors&gt;&lt;/contributors&gt;&lt;auth-address&gt;United BioSource Corporation, 20 Bloomsbury Square, London WC1A 2NS, UK. andrew.lloyd@unitedbiosource.com&lt;/auth-address&gt;&lt;titles&gt;&lt;title&gt;Health state utilities for metastatic breast cancer&lt;/title&gt;&lt;secondary-title&gt;Br. J. Cancer&lt;/secondary-title&gt;&lt;/titles&gt;&lt;periodical&gt;&lt;full-title&gt;Br. J. Cancer&lt;/full-title&gt;&lt;/periodical&gt;&lt;pages&gt;683-690&lt;/pages&gt;&lt;volume&gt;95&lt;/volume&gt;&lt;number&gt;6&lt;/number&gt;&lt;reprint-edition&gt;Not in File&lt;/reprint-edition&gt;&lt;keywords&gt;&lt;keyword&gt;Adult&lt;/keyword&gt;&lt;keyword&gt;Age Factors&lt;/keyword&gt;&lt;keyword&gt;Attitude to Health&lt;/keyword&gt;&lt;keyword&gt;Breast Neoplasms&lt;/keyword&gt;&lt;keyword&gt;Disease Progression&lt;/keyword&gt;&lt;keyword&gt;drug therapy&lt;/keyword&gt;&lt;keyword&gt;epidemiology&lt;/keyword&gt;&lt;keyword&gt;Female&lt;/keyword&gt;&lt;keyword&gt;Health Status&lt;/keyword&gt;&lt;keyword&gt;Humans&lt;/keyword&gt;&lt;keyword&gt;Male&lt;/keyword&gt;&lt;keyword&gt;Pilot Projects&lt;/keyword&gt;&lt;keyword&gt;psychology&lt;/keyword&gt;&lt;keyword&gt;Quality of Life&lt;/keyword&gt;&lt;keyword&gt;Recurrence&lt;/keyword&gt;&lt;keyword&gt;Sex Factors&lt;/keyword&gt;&lt;keyword&gt;Sickness Impact Profile&lt;/keyword&gt;&lt;keyword&gt;United Kingdom&lt;/keyword&gt;&lt;/keywords&gt;&lt;dates&gt;&lt;year&gt;2006&lt;/year&gt;&lt;pub-dates&gt;&lt;date&gt;9/18/2006&lt;/date&gt;&lt;/pub-dates&gt;&lt;/dates&gt;&lt;label&gt;84&lt;/label&gt;&lt;urls&gt;&lt;related-urls&gt;&lt;url&gt;http://www.ncbi.nlm.nih.gov/pubmed/16967055&lt;/url&gt;&lt;/related-urls&gt;&lt;/urls&gt;&lt;electronic-resource-num&gt;6603326 [pii];10.1038/sj.bjc.6603326 [doi]&lt;/electronic-resource-num&gt;&lt;/record&gt;&lt;/Cite&gt;&lt;/EndNote&gt;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[33]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2.25%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Somnolence/sedation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$51.68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1 outpatient visit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0.060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&lt;EndNote&gt;&lt;Cite&gt;&lt;Author&gt;Excellence&lt;/Author&gt;&lt;Year&gt;2010&lt;/Year&gt;&lt;RecNum&gt;54&lt;/RecNum&gt;&lt;DisplayText&gt;[34]&lt;/DisplayText&gt;&lt;record&gt;&lt;rec-number&gt;54&lt;/rec-number&gt;&lt;foreign-keys&gt;&lt;key app="EN" db-id="avzv2e0dovztegeapxdp9pvvdxa029arap2p" timestamp="1507739105"&gt;54&lt;/key&gt;&lt;/foreign-keys&gt;&lt;ref-type name="Electronic Article"&gt;43&lt;/ref-type&gt;&lt;contributors&gt;&lt;authors&gt;&lt;author&gt;National Institute for Health and Clinical Excellence,&lt;/author&gt;&lt;/authors&gt;&lt;/contributors&gt;&lt;titles&gt;&lt;title&gt;Dronedarone for the treatment of non-permanent atrial fibrillation. Manufacturer/sponsor submission of evidence [TA197]&lt;/title&gt;&lt;secondary-title&gt;NICE&lt;/secondary-title&gt;&lt;/titles&gt;&lt;periodical&gt;&lt;full-title&gt;NICE&lt;/full-title&gt;&lt;/periodical&gt;&lt;section&gt;2010&lt;/section&gt;&lt;reprint-edition&gt;Not in File&lt;/reprint-edition&gt;&lt;dates&gt;&lt;year&gt;2010&lt;/year&gt;&lt;pub-dates&gt;&lt;date&gt;9/7/2017&lt;/date&gt;&lt;/pub-dates&gt;&lt;/dates&gt;&lt;label&gt;78&lt;/label&gt;&lt;urls&gt;&lt;related-urls&gt;&lt;url&gt;&lt;style face="underline" font="default" size="100%"&gt;https://www.nice.org.uk/guidance/ta197&lt;/style&gt;&lt;/url&gt;&lt;/related-urls&gt;&lt;/urls&gt;&lt;/record&gt;&lt;/Cite&gt;&lt;/EndNote&gt;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[34]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9.72%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2.19%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2.41%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24.00%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Tremor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$66.53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1 outpatient visit, 90 days course of propranolol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0.055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&lt;EndNote&gt;&lt;Cite&gt;&lt;Author&gt;Excellence&lt;/Author&gt;&lt;Year&gt;2010&lt;/Year&gt;&lt;RecNum&gt;54&lt;/RecNum&gt;&lt;DisplayText&gt;[34]&lt;/DisplayText&gt;&lt;record&gt;&lt;rec-number&gt;54&lt;/rec-number&gt;&lt;foreign-keys&gt;&lt;key app="EN" db-id="avzv2e0dovztegeapxdp9pvvdxa029arap2p" timestamp="1507739105"&gt;54&lt;/key&gt;&lt;/foreign-keys&gt;&lt;ref-type name="Electronic Article"&gt;43&lt;/ref-type&gt;&lt;contributors&gt;&lt;authors&gt;&lt;author&gt;National Institute for Health and Clinical Excellence,&lt;/author&gt;&lt;/authors&gt;&lt;/contributors&gt;&lt;titles&gt;&lt;title&gt;Dronedarone for the treatment of non-permanent atrial fibrillation. Manufacturer/sponsor submission of evidence [TA197]&lt;/title&gt;&lt;secondary-title&gt;NICE&lt;/secondary-title&gt;&lt;/titles&gt;&lt;periodical&gt;&lt;full-title&gt;NICE&lt;/full-title&gt;&lt;/periodical&gt;&lt;section&gt;2010&lt;/section&gt;&lt;reprint-edition&gt;Not in File&lt;/reprint-edition&gt;&lt;dates&gt;&lt;year&gt;2010&lt;/year&gt;&lt;pub-dates&gt;&lt;date&gt;9/7/2017&lt;/date&gt;&lt;/pub-dates&gt;&lt;/dates&gt;&lt;label&gt;78&lt;/label&gt;&lt;urls&gt;&lt;related-urls&gt;&lt;url&gt;&lt;style face="underline" font="default" size="100%"&gt;https://www.nice.org.uk/guidance/ta197&lt;/style&gt;&lt;/url&gt;&lt;/related-urls&gt;&lt;/urls&gt;&lt;/record&gt;&lt;/Cite&gt;&lt;/EndNote&gt;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[34]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33.33%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>Upper respiratory tract infection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$114.11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2 outpatient visits, 2 courses of broad spectrum antibiotics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0.020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&lt;EndNote&gt;&lt;Cite&gt;&lt;Author&gt;Excellence&lt;/Author&gt;&lt;Year&gt;2014&lt;/Year&gt;&lt;RecNum&gt;56&lt;/RecNum&gt;&lt;DisplayText&gt;[36]&lt;/DisplayText&gt;&lt;record&gt;&lt;rec-number&gt;56&lt;/rec-number&gt;&lt;foreign-keys&gt;&lt;key app="EN" db-id="avzv2e0dovztegeapxdp9pvvdxa029arap2p" timestamp="1507739107"&gt;56&lt;/key&gt;&lt;/foreign-keys&gt;&lt;ref-type name="Electronic Article"&gt;43&lt;/ref-type&gt;&lt;contributors&gt;&lt;authors&gt;&lt;author&gt;National Institute for Health and Clinical Excellence, &lt;/author&gt;&lt;/authors&gt;&lt;/contributors&gt;&lt;titles&gt;&lt;title&gt;Teriflunomide for treating relapsing--remitting multiple sclerosis&lt;/title&gt;&lt;secondary-title&gt;NICE website&lt;/secondary-title&gt;&lt;/titles&gt;&lt;periodical&gt;&lt;full-title&gt;NICE website&lt;/full-title&gt;&lt;/periodical&gt;&lt;section&gt;2014&lt;/section&gt;&lt;reprint-edition&gt;Not in File&lt;/reprint-edition&gt;&lt;dates&gt;&lt;year&gt;2014&lt;/year&gt;&lt;pub-dates&gt;&lt;date&gt;9/7/2017&lt;/date&gt;&lt;/pub-dates&gt;&lt;/dates&gt;&lt;label&gt;80&lt;/label&gt;&lt;urls&gt;&lt;related-urls&gt;&lt;url&gt;&lt;style face="underline" font="default" size="100%"&gt;https://www.nice.org.uk/guidance/ta303&lt;/style&gt;&lt;/url&gt;&lt;/related-urls&gt;&lt;/urls&gt;&lt;/record&gt;&lt;/Cite&gt;&lt;/EndNote&gt;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[36]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8.33%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 xml:space="preserve">Vomiting 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$54.48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1 outpatient visit, 1 course of anti-emetics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0.103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/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&lt;EndNote&gt;&lt;Cite&gt;&lt;Author&gt;Lloyd&lt;/Author&gt;&lt;Year&gt;2006&lt;/Year&gt;&lt;RecNum&gt;60&lt;/RecNum&gt;&lt;DisplayText&gt;[33]&lt;/DisplayText&gt;&lt;record&gt;&lt;rec-number&gt;60&lt;/rec-number&gt;&lt;foreign-keys&gt;&lt;key app="EN" db-id="avzv2e0dovztegeapxdp9pvvdxa029arap2p" timestamp="1507739110"&gt;60&lt;/key&gt;&lt;/foreign-keys&gt;&lt;ref-type name="Journal Article"&gt;17&lt;/ref-type&gt;&lt;contributors&gt;&lt;authors&gt;&lt;author&gt;Lloyd, A.&lt;/author&gt;&lt;author&gt;Nafees, B.&lt;/author&gt;&lt;author&gt;Narewska, J.&lt;/author&gt;&lt;author&gt;Dewilde, S.&lt;/author&gt;&lt;author&gt;Watkins, J.&lt;/author&gt;&lt;/authors&gt;&lt;/contributors&gt;&lt;auth-address&gt;United BioSource Corporation, 20 Bloomsbury Square, London WC1A 2NS, UK. andrew.lloyd@unitedbiosource.com&lt;/auth-address&gt;&lt;titles&gt;&lt;title&gt;Health state utilities for metastatic breast cancer&lt;/title&gt;&lt;secondary-title&gt;Br. J. Cancer&lt;/secondary-title&gt;&lt;/titles&gt;&lt;periodical&gt;&lt;full-title&gt;Br. J. Cancer&lt;/full-title&gt;&lt;/periodical&gt;&lt;pages&gt;683-690&lt;/pages&gt;&lt;volume&gt;95&lt;/volume&gt;&lt;number&gt;6&lt;/number&gt;&lt;reprint-edition&gt;Not in File&lt;/reprint-edition&gt;&lt;keywords&gt;&lt;keyword&gt;Adult&lt;/keyword&gt;&lt;keyword&gt;Age Factors&lt;/keyword&gt;&lt;keyword&gt;Attitude to Health&lt;/keyword&gt;&lt;keyword&gt;Breast Neoplasms&lt;/keyword&gt;&lt;keyword&gt;Disease Progression&lt;/keyword&gt;&lt;keyword&gt;drug therapy&lt;/keyword&gt;&lt;keyword&gt;epidemiology&lt;/keyword&gt;&lt;keyword&gt;Female&lt;/keyword&gt;&lt;keyword&gt;Health Status&lt;/keyword&gt;&lt;keyword&gt;Humans&lt;/keyword&gt;&lt;keyword&gt;Male&lt;/keyword&gt;&lt;keyword&gt;Pilot Projects&lt;/keyword&gt;&lt;keyword&gt;psychology&lt;/keyword&gt;&lt;keyword&gt;Quality of Life&lt;/keyword&gt;&lt;keyword&gt;Recurrence&lt;/keyword&gt;&lt;keyword&gt;Sex Factors&lt;/keyword&gt;&lt;keyword&gt;Sickness Impact Profile&lt;/keyword&gt;&lt;keyword&gt;United Kingdom&lt;/keyword&gt;&lt;/keywords&gt;&lt;dates&gt;&lt;year&gt;2006&lt;/year&gt;&lt;pub-dates&gt;&lt;date&gt;9/18/2006&lt;/date&gt;&lt;/pub-dates&gt;&lt;/dates&gt;&lt;label&gt;84&lt;/label&gt;&lt;urls&gt;&lt;related-urls&gt;&lt;url&gt;http://www.ncbi.nlm.nih.gov/pubmed/16967055&lt;/url&gt;&lt;/related-urls&gt;&lt;/urls&gt;&lt;electronic-resource-num&gt;6603326 [pii];10.1038/sj.bjc.6603326 [doi]&lt;/electronic-resource-num&gt;&lt;/record&gt;&lt;/Cite&gt;&lt;/EndNote&gt;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[33]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1.46%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2.89%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  <w:tr w:rsidR="00040C4D" w:rsidRPr="00F3437F" w:rsidTr="00B81A05">
        <w:tc>
          <w:tcPr>
            <w:tcW w:w="438" w:type="pct"/>
            <w:shd w:val="clear" w:color="auto" w:fill="auto"/>
          </w:tcPr>
          <w:p w:rsidR="00040C4D" w:rsidRPr="00F3437F" w:rsidRDefault="00040C4D" w:rsidP="00B81A05">
            <w:pPr>
              <w:spacing w:before="60" w:after="60"/>
              <w:rPr>
                <w:rFonts w:ascii="Calibri" w:hAnsi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t xml:space="preserve">Weight </w:t>
            </w:r>
            <w:r w:rsidRPr="00F3437F">
              <w:rPr>
                <w:rFonts w:ascii="Calibri" w:hAnsi="Calibri"/>
                <w:sz w:val="20"/>
                <w:szCs w:val="20"/>
                <w:lang w:val="en-US"/>
              </w:rPr>
              <w:lastRenderedPageBreak/>
              <w:t>Increase</w:t>
            </w:r>
          </w:p>
        </w:tc>
        <w:tc>
          <w:tcPr>
            <w:tcW w:w="356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lastRenderedPageBreak/>
              <w:t>$0.00</w:t>
            </w:r>
          </w:p>
        </w:tc>
        <w:tc>
          <w:tcPr>
            <w:tcW w:w="485" w:type="pct"/>
            <w:shd w:val="clear" w:color="auto" w:fill="auto"/>
          </w:tcPr>
          <w:p w:rsidR="00040C4D" w:rsidRPr="00F3437F" w:rsidRDefault="00040C4D" w:rsidP="00B81A05">
            <w:pPr>
              <w:jc w:val="center"/>
              <w:rPr>
                <w:rFonts w:ascii="Calibri" w:hAnsi="Calibri" w:cs="Cambria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t>No additio</w:t>
            </w:r>
            <w:r w:rsidRPr="00F3437F">
              <w:rPr>
                <w:rFonts w:ascii="Calibri" w:hAnsi="Calibri" w:cs="Cambria"/>
                <w:sz w:val="20"/>
                <w:szCs w:val="20"/>
                <w:lang w:val="en-US"/>
              </w:rPr>
              <w:lastRenderedPageBreak/>
              <w:t>nal action</w:t>
            </w:r>
          </w:p>
        </w:tc>
        <w:tc>
          <w:tcPr>
            <w:tcW w:w="376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269" w:type="pct"/>
            <w:shd w:val="clear" w:color="auto" w:fill="auto"/>
          </w:tcPr>
          <w:p w:rsidR="00040C4D" w:rsidRPr="00F3437F" w:rsidRDefault="00040C4D" w:rsidP="00B81A05">
            <w:pPr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szCs w:val="20"/>
                <w:lang w:val="en-US"/>
              </w:rPr>
            </w:pPr>
            <w:r w:rsidRPr="00F3437F">
              <w:rPr>
                <w:rFonts w:ascii="Calibri" w:hAnsi="Calibri" w:cs="Calibri"/>
                <w:sz w:val="20"/>
                <w:szCs w:val="20"/>
                <w:lang w:val="en-US"/>
              </w:rPr>
              <w:t>0.066</w:t>
            </w:r>
          </w:p>
        </w:tc>
        <w:tc>
          <w:tcPr>
            <w:tcW w:w="32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</w:p>
        </w:tc>
        <w:tc>
          <w:tcPr>
            <w:tcW w:w="524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spacing w:before="100" w:beforeAutospacing="1" w:after="100" w:afterAutospacing="1"/>
              <w:jc w:val="center"/>
              <w:rPr>
                <w:rFonts w:ascii="Calibri" w:hAnsi="Calibri" w:cs="Calibri"/>
                <w:sz w:val="20"/>
                <w:lang w:val="en-US"/>
              </w:rPr>
            </w:pPr>
            <w:r>
              <w:rPr>
                <w:rFonts w:ascii="Calibri" w:hAnsi="Calibri" w:cs="Calibri"/>
                <w:sz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 </w:instrText>
            </w:r>
            <w:r>
              <w:rPr>
                <w:rFonts w:ascii="Calibri" w:hAnsi="Calibri" w:cs="Calibri"/>
                <w:sz w:val="20"/>
                <w:lang w:val="en-US"/>
              </w:rPr>
              <w:fldChar w:fldCharType="begin">
                <w:fldData xml:space="preserve">PEVuZE5vdGU+PENpdGU+PEF1dGhvcj5SZXZpY2tpPC9BdXRob3I+PFllYXI+MjAwNTwvWWVhcj48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</w:fldData>
              </w:fldChar>
            </w:r>
            <w:r>
              <w:rPr>
                <w:rFonts w:ascii="Calibri" w:hAnsi="Calibri" w:cs="Calibri"/>
                <w:sz w:val="20"/>
                <w:lang w:val="en-US"/>
              </w:rPr>
              <w:instrText xml:space="preserve"> ADDIN EN.CITE.DATA </w:instrText>
            </w:r>
            <w:r>
              <w:rPr>
                <w:rFonts w:ascii="Calibri" w:hAnsi="Calibri" w:cs="Calibri"/>
                <w:sz w:val="20"/>
                <w:lang w:val="en-US"/>
              </w:rPr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  <w:r>
              <w:rPr>
                <w:rFonts w:ascii="Calibri" w:hAnsi="Calibri" w:cs="Calibri"/>
                <w:sz w:val="20"/>
                <w:lang w:val="en-US"/>
              </w:rPr>
            </w:r>
            <w:r>
              <w:rPr>
                <w:rFonts w:ascii="Calibri" w:hAnsi="Calibri" w:cs="Calibri"/>
                <w:sz w:val="20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 w:val="20"/>
                <w:lang w:val="en-US"/>
              </w:rPr>
              <w:t>[32]</w:t>
            </w:r>
            <w:r>
              <w:rPr>
                <w:rFonts w:ascii="Calibri" w:hAnsi="Calibri" w:cs="Calibri"/>
                <w:sz w:val="20"/>
                <w:lang w:val="en-US"/>
              </w:rPr>
              <w:fldChar w:fldCharType="end"/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23.4</w:t>
            </w:r>
            <w:r w:rsidRPr="00F3437F">
              <w:rPr>
                <w:rFonts w:ascii="Calibri" w:hAnsi="Calibri" w:cs="Cambria"/>
                <w:sz w:val="20"/>
                <w:lang w:val="en-US"/>
              </w:rPr>
              <w:lastRenderedPageBreak/>
              <w:t>8%</w:t>
            </w:r>
          </w:p>
        </w:tc>
        <w:tc>
          <w:tcPr>
            <w:tcW w:w="370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lastRenderedPageBreak/>
              <w:t>9.72%</w:t>
            </w:r>
          </w:p>
        </w:tc>
        <w:tc>
          <w:tcPr>
            <w:tcW w:w="363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-</w:t>
            </w:r>
          </w:p>
        </w:tc>
        <w:tc>
          <w:tcPr>
            <w:tcW w:w="32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5.00%</w:t>
            </w:r>
          </w:p>
        </w:tc>
        <w:tc>
          <w:tcPr>
            <w:tcW w:w="238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  <w:r w:rsidRPr="00F3437F">
              <w:rPr>
                <w:rFonts w:ascii="Calibri" w:hAnsi="Calibri" w:cs="Cambria"/>
                <w:sz w:val="20"/>
                <w:lang w:val="en-US"/>
              </w:rPr>
              <w:t>18.0</w:t>
            </w:r>
            <w:r w:rsidRPr="00F3437F">
              <w:rPr>
                <w:rFonts w:ascii="Calibri" w:hAnsi="Calibri" w:cs="Cambria"/>
                <w:sz w:val="20"/>
                <w:lang w:val="en-US"/>
              </w:rPr>
              <w:lastRenderedPageBreak/>
              <w:t>5%</w:t>
            </w:r>
          </w:p>
        </w:tc>
        <w:tc>
          <w:tcPr>
            <w:tcW w:w="346" w:type="pct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 w:cs="Cambria"/>
                <w:sz w:val="20"/>
                <w:lang w:val="en-US"/>
              </w:rPr>
            </w:pPr>
          </w:p>
        </w:tc>
      </w:tr>
    </w:tbl>
    <w:p w:rsidR="00040C4D" w:rsidRDefault="00040C4D" w:rsidP="00040C4D">
      <w:pPr>
        <w:pStyle w:val="TableNote-H58"/>
        <w:rPr>
          <w:rFonts w:ascii="Calibri" w:hAnsi="Calibri"/>
          <w:sz w:val="16"/>
          <w:szCs w:val="16"/>
          <w:lang w:val="en-US"/>
        </w:rPr>
      </w:pPr>
      <w:r w:rsidRPr="00F3437F">
        <w:rPr>
          <w:rFonts w:ascii="Calibri" w:hAnsi="Calibri"/>
          <w:sz w:val="16"/>
          <w:szCs w:val="16"/>
          <w:lang w:val="en-US"/>
        </w:rPr>
        <w:lastRenderedPageBreak/>
        <w:t>ISR = Injection Site Reactions; RTI = respiratory tract infection; BSC = Best Supportive Care; LAI = Long Acting Injectable</w:t>
      </w:r>
    </w:p>
    <w:p w:rsidR="00040C4D" w:rsidRDefault="00040C4D" w:rsidP="00040C4D">
      <w:pPr>
        <w:pStyle w:val="TableNote-H58"/>
        <w:rPr>
          <w:rFonts w:ascii="Calibri" w:hAnsi="Calibri"/>
          <w:sz w:val="16"/>
          <w:szCs w:val="16"/>
          <w:lang w:val="en-US"/>
        </w:rPr>
      </w:pPr>
      <w:r>
        <w:rPr>
          <w:rFonts w:ascii="Calibri" w:hAnsi="Calibri"/>
          <w:sz w:val="16"/>
          <w:szCs w:val="16"/>
          <w:lang w:val="en-US"/>
        </w:rPr>
        <w:t>*Distribution in PSA: gamm</w:t>
      </w:r>
      <w:r w:rsidR="003E4DBC">
        <w:rPr>
          <w:rFonts w:ascii="Calibri" w:hAnsi="Calibri"/>
          <w:sz w:val="16"/>
          <w:szCs w:val="16"/>
          <w:lang w:val="en-US"/>
        </w:rPr>
        <w:t>a; **distribution in PSA: beta.</w:t>
      </w:r>
    </w:p>
    <w:p w:rsidR="003E4DBC" w:rsidRPr="00F3437F" w:rsidRDefault="003E4DBC" w:rsidP="00040C4D">
      <w:pPr>
        <w:pStyle w:val="TableNote-H58"/>
        <w:rPr>
          <w:rFonts w:ascii="Calibri" w:hAnsi="Calibri"/>
          <w:sz w:val="16"/>
          <w:szCs w:val="16"/>
          <w:lang w:val="en-US"/>
        </w:rPr>
      </w:pPr>
      <w:r w:rsidRPr="003E4DBC">
        <w:rPr>
          <w:rFonts w:ascii="Calibri" w:hAnsi="Calibri"/>
          <w:sz w:val="16"/>
          <w:szCs w:val="16"/>
          <w:vertAlign w:val="superscript"/>
          <w:lang w:val="en-US"/>
        </w:rPr>
        <w:t>†</w:t>
      </w:r>
      <w:r>
        <w:rPr>
          <w:rFonts w:ascii="Calibri" w:hAnsi="Calibri"/>
          <w:sz w:val="16"/>
          <w:szCs w:val="16"/>
          <w:lang w:val="en-US"/>
        </w:rPr>
        <w:t xml:space="preserve"> [49] </w:t>
      </w:r>
      <w:proofErr w:type="spellStart"/>
      <w:r w:rsidRPr="003E4DBC">
        <w:rPr>
          <w:rFonts w:ascii="Calibri" w:hAnsi="Calibri"/>
          <w:sz w:val="16"/>
          <w:szCs w:val="16"/>
          <w:lang w:val="en-US"/>
        </w:rPr>
        <w:t>Lachaine</w:t>
      </w:r>
      <w:proofErr w:type="spellEnd"/>
      <w:r w:rsidRPr="003E4DBC">
        <w:rPr>
          <w:rFonts w:ascii="Calibri" w:hAnsi="Calibri"/>
          <w:sz w:val="16"/>
          <w:szCs w:val="16"/>
          <w:lang w:val="en-US"/>
        </w:rPr>
        <w:t xml:space="preserve"> J, </w:t>
      </w:r>
      <w:proofErr w:type="spellStart"/>
      <w:r w:rsidRPr="003E4DBC">
        <w:rPr>
          <w:rFonts w:ascii="Calibri" w:hAnsi="Calibri"/>
          <w:sz w:val="16"/>
          <w:szCs w:val="16"/>
          <w:lang w:val="en-US"/>
        </w:rPr>
        <w:t>Beauchemin</w:t>
      </w:r>
      <w:proofErr w:type="spellEnd"/>
      <w:r w:rsidRPr="003E4DBC">
        <w:rPr>
          <w:rFonts w:ascii="Calibri" w:hAnsi="Calibri"/>
          <w:sz w:val="16"/>
          <w:szCs w:val="16"/>
          <w:lang w:val="en-US"/>
        </w:rPr>
        <w:t xml:space="preserve"> C, Mathurin K, Gilbert D, </w:t>
      </w:r>
      <w:proofErr w:type="spellStart"/>
      <w:r w:rsidRPr="003E4DBC">
        <w:rPr>
          <w:rFonts w:ascii="Calibri" w:hAnsi="Calibri"/>
          <w:sz w:val="16"/>
          <w:szCs w:val="16"/>
          <w:lang w:val="en-US"/>
        </w:rPr>
        <w:t>Beillat</w:t>
      </w:r>
      <w:proofErr w:type="spellEnd"/>
      <w:r w:rsidRPr="003E4DBC">
        <w:rPr>
          <w:rFonts w:ascii="Calibri" w:hAnsi="Calibri"/>
          <w:sz w:val="16"/>
          <w:szCs w:val="16"/>
          <w:lang w:val="en-US"/>
        </w:rPr>
        <w:t xml:space="preserve"> M. Cost–effectiveness of </w:t>
      </w:r>
      <w:proofErr w:type="spellStart"/>
      <w:r w:rsidRPr="003E4DBC">
        <w:rPr>
          <w:rFonts w:ascii="Calibri" w:hAnsi="Calibri"/>
          <w:sz w:val="16"/>
          <w:szCs w:val="16"/>
          <w:lang w:val="en-US"/>
        </w:rPr>
        <w:t>asenapine</w:t>
      </w:r>
      <w:proofErr w:type="spellEnd"/>
      <w:r w:rsidRPr="003E4DBC">
        <w:rPr>
          <w:rFonts w:ascii="Calibri" w:hAnsi="Calibri"/>
          <w:sz w:val="16"/>
          <w:szCs w:val="16"/>
          <w:lang w:val="en-US"/>
        </w:rPr>
        <w:t xml:space="preserve"> in the treatment of schizophrenia in Canada. </w:t>
      </w:r>
      <w:r w:rsidRPr="003E4DBC">
        <w:rPr>
          <w:rFonts w:ascii="Calibri" w:hAnsi="Calibri"/>
          <w:i/>
          <w:sz w:val="16"/>
          <w:szCs w:val="16"/>
          <w:lang w:val="en-US"/>
        </w:rPr>
        <w:t>J. Med. Econ.</w:t>
      </w:r>
      <w:r w:rsidRPr="003E4DBC">
        <w:rPr>
          <w:rFonts w:ascii="Calibri" w:hAnsi="Calibri"/>
          <w:sz w:val="16"/>
          <w:szCs w:val="16"/>
          <w:lang w:val="en-US"/>
        </w:rPr>
        <w:t xml:space="preserve"> </w:t>
      </w:r>
      <w:proofErr w:type="gramStart"/>
      <w:r w:rsidRPr="003E4DBC">
        <w:rPr>
          <w:rFonts w:ascii="Calibri" w:hAnsi="Calibri"/>
          <w:sz w:val="16"/>
          <w:szCs w:val="16"/>
          <w:lang w:val="en-US"/>
        </w:rPr>
        <w:t>17(4), 296-304 (2014).</w:t>
      </w:r>
      <w:proofErr w:type="gramEnd"/>
    </w:p>
    <w:p w:rsidR="00040C4D" w:rsidRPr="00F3437F" w:rsidRDefault="00040C4D" w:rsidP="00040C4D">
      <w:pPr>
        <w:rPr>
          <w:lang w:val="en-US"/>
        </w:rPr>
      </w:pPr>
      <w:bookmarkStart w:id="2" w:name="_GoBack"/>
      <w:bookmarkEnd w:id="2"/>
      <w:r w:rsidRPr="00F3437F">
        <w:rPr>
          <w:lang w:val="en-US"/>
        </w:rPr>
        <w:br w:type="page"/>
      </w:r>
    </w:p>
    <w:p w:rsidR="00040C4D" w:rsidRPr="00F3437F" w:rsidRDefault="00040C4D" w:rsidP="00040C4D">
      <w:pPr>
        <w:pStyle w:val="BodyText"/>
        <w:jc w:val="left"/>
        <w:rPr>
          <w:rFonts w:ascii="Calibri" w:hAnsi="Calibri"/>
          <w:b/>
        </w:rPr>
      </w:pPr>
      <w:proofErr w:type="gramStart"/>
      <w:r w:rsidRPr="00F3437F">
        <w:rPr>
          <w:rFonts w:ascii="Calibri" w:hAnsi="Calibri"/>
          <w:b/>
        </w:rPr>
        <w:lastRenderedPageBreak/>
        <w:t>Supplemental Table 3.</w:t>
      </w:r>
      <w:proofErr w:type="gramEnd"/>
      <w:r w:rsidRPr="00F3437F">
        <w:rPr>
          <w:rFonts w:ascii="Calibri" w:hAnsi="Calibri"/>
          <w:b/>
        </w:rPr>
        <w:t xml:space="preserve"> All costs and utility values, except those related to AE]</w:t>
      </w:r>
    </w:p>
    <w:tbl>
      <w:tblPr>
        <w:tblW w:w="0" w:type="auto"/>
        <w:tblInd w:w="108" w:type="dxa"/>
        <w:tblBorders>
          <w:top w:val="single" w:sz="18" w:space="0" w:color="003870"/>
          <w:bottom w:val="single" w:sz="12" w:space="0" w:color="003870"/>
          <w:insideH w:val="single" w:sz="8" w:space="0" w:color="808080"/>
        </w:tblBorders>
        <w:tblLook w:val="04A0" w:firstRow="1" w:lastRow="0" w:firstColumn="1" w:lastColumn="0" w:noHBand="0" w:noVBand="1"/>
      </w:tblPr>
      <w:tblGrid>
        <w:gridCol w:w="1859"/>
        <w:gridCol w:w="1077"/>
        <w:gridCol w:w="386"/>
        <w:gridCol w:w="344"/>
        <w:gridCol w:w="1473"/>
        <w:gridCol w:w="1474"/>
        <w:gridCol w:w="1162"/>
        <w:gridCol w:w="973"/>
      </w:tblGrid>
      <w:tr w:rsidR="00040C4D" w:rsidRPr="00F3437F" w:rsidTr="00B81A05">
        <w:tc>
          <w:tcPr>
            <w:tcW w:w="0" w:type="auto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ind w:left="-18" w:firstLine="18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Treatments or item</w:t>
            </w:r>
          </w:p>
        </w:tc>
        <w:tc>
          <w:tcPr>
            <w:tcW w:w="0" w:type="auto"/>
            <w:gridSpan w:val="2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WAC ($)</w:t>
            </w:r>
          </w:p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unit cost</w:t>
            </w:r>
          </w:p>
        </w:tc>
        <w:tc>
          <w:tcPr>
            <w:tcW w:w="0" w:type="auto"/>
            <w:gridSpan w:val="2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Number of administrations</w:t>
            </w:r>
          </w:p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(per year)</w:t>
            </w:r>
          </w:p>
        </w:tc>
        <w:tc>
          <w:tcPr>
            <w:tcW w:w="0" w:type="auto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Cycle cost</w:t>
            </w:r>
          </w:p>
        </w:tc>
        <w:tc>
          <w:tcPr>
            <w:tcW w:w="0" w:type="auto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&lt;EndNote&gt;&lt;Cite&gt;&lt;Author&gt;Analytics&lt;/Author&gt;&lt;Year&gt;2017&lt;/Year&gt;&lt;RecNum&gt;40&lt;/RecNum&gt;&lt;DisplayText&gt;[39]&lt;/DisplayText&gt;&lt;record&gt;&lt;rec-number&gt;40&lt;/rec-number&gt;&lt;foreign-keys&gt;&lt;key app="EN" db-id="avzv2e0dovztegeapxdp9pvvdxa029arap2p" timestamp="1507739092"&gt;40&lt;/key&gt;&lt;/foreign-keys&gt;&lt;ref-type name="Electronic Article"&gt;43&lt;/ref-type&gt;&lt;contributors&gt;&lt;authors&gt;&lt;author&gt;Truven Health Analytics, &lt;/author&gt;&lt;/authors&gt;&lt;/contributors&gt;&lt;titles&gt;&lt;title&gt;RED BOOK Online®&lt;/title&gt;&lt;secondary-title&gt;Micromedex Solutions&lt;/secondary-title&gt;&lt;/titles&gt;&lt;periodical&gt;&lt;full-title&gt;Micromedex Solutions&lt;/full-title&gt;&lt;/periodical&gt;&lt;section&gt;2017&lt;/section&gt;&lt;reprint-edition&gt;Not in File&lt;/reprint-edition&gt;&lt;dates&gt;&lt;year&gt;2017&lt;/year&gt;&lt;pub-dates&gt;&lt;date&gt;2/15/2017&lt;/date&gt;&lt;/pub-dates&gt;&lt;/dates&gt;&lt;label&gt;61&lt;/label&gt;&lt;urls&gt;&lt;related-urls&gt;&lt;url&gt;&lt;style face="underline" font="default" size="100%"&gt;http://micromedex.com/products/product-suites/clinical-knowledge/redbook&lt;/style&gt;&lt;/url&gt;&lt;/related-urls&gt;&lt;/urls&gt;&lt;/record&gt;&lt;/Cite&gt;&lt;/EndNote&gt;</w:instrTex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[</w:t>
            </w:r>
            <w:r w:rsidR="003E4DBC"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40</w:t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gridSpan w:val="8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Drug acquisition costs – euthymic state</w:t>
            </w:r>
          </w:p>
        </w:tc>
      </w:tr>
      <w:tr w:rsidR="00040C4D" w:rsidRPr="00F3437F" w:rsidTr="00B81A05">
        <w:tc>
          <w:tcPr>
            <w:tcW w:w="0" w:type="auto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ind w:left="-18" w:firstLine="18"/>
              <w:rPr>
                <w:rFonts w:ascii="Calibri" w:hAnsi="Calibri"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Formulation (% patients)</w:t>
            </w:r>
          </w:p>
        </w:tc>
        <w:tc>
          <w:tcPr>
            <w:tcW w:w="0" w:type="auto"/>
            <w:gridSpan w:val="2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808080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808080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AOM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300 mg (17.8)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$1407.59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12.00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$16,891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400 mg (82.2)</w:t>
            </w:r>
          </w:p>
        </w:tc>
        <w:tc>
          <w:tcPr>
            <w:tcW w:w="0" w:type="auto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$1876.79</w:t>
            </w:r>
          </w:p>
        </w:tc>
        <w:tc>
          <w:tcPr>
            <w:tcW w:w="0" w:type="auto"/>
            <w:gridSpan w:val="2"/>
            <w:vMerge/>
            <w:tcBorders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$22,521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Average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$21,522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tcBorders>
              <w:top w:val="single" w:sz="4" w:space="0" w:color="auto"/>
              <w:bottom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 xml:space="preserve">Risperidone LAI 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vMerge w:val="restart"/>
            <w:tcBorders>
              <w:top w:val="single" w:sz="4" w:space="0" w:color="auto"/>
              <w:bottom w:val="single" w:sz="8" w:space="0" w:color="808080"/>
            </w:tcBorders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26.00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808080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808080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12.5 mg (5.7)</w:t>
            </w:r>
          </w:p>
        </w:tc>
        <w:tc>
          <w:tcPr>
            <w:tcW w:w="0" w:type="auto"/>
            <w:gridSpan w:val="2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$208.25 </w:t>
            </w:r>
          </w:p>
        </w:tc>
        <w:tc>
          <w:tcPr>
            <w:tcW w:w="0" w:type="auto"/>
            <w:gridSpan w:val="2"/>
            <w:vMerge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808080"/>
            </w:tcBorders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$5415 </w:t>
            </w:r>
          </w:p>
        </w:tc>
        <w:tc>
          <w:tcPr>
            <w:tcW w:w="0" w:type="auto"/>
            <w:tcBorders>
              <w:top w:val="single" w:sz="8" w:space="0" w:color="808080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808080"/>
            </w:tcBorders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25 mg (32.9)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$416.45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$10,828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37.5 mg (28.7)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$624.71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$16,242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50 mg (32.8)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$832.96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$21,657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Average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$15,625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proofErr w:type="spellStart"/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Paliperidone</w:t>
            </w:r>
            <w:proofErr w:type="spellEnd"/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 xml:space="preserve"> palmitate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rPr>
          <w:trHeight w:val="206"/>
        </w:trPr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39 mg (0.3)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$382.89 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12.00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$4595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78 mg (2.0)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$765.82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$9190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117 mg (23.9)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$1148.74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$13,785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156 mg (39.5)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$1531.72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$18,381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234 mg (34.3)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$2297.52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$27,570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rPr>
          <w:trHeight w:val="164"/>
        </w:trPr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Average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$20,205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proofErr w:type="spellStart"/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Cariprazine</w:t>
            </w:r>
            <w:proofErr w:type="spellEnd"/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1.5 mg (32.5)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$33.54 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365.25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$12,249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 mg (54.0)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$33.54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$12,249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4.5 mg (7.9)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$33.54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$12,249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6 mg (5.5)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$33.54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$12,249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Average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 xml:space="preserve">$12,249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proofErr w:type="spellStart"/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Asenapine</w:t>
            </w:r>
            <w:proofErr w:type="spellEnd"/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2.5 mg (5.4)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$18.28 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365.25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$6676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5 mg (36.1)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$16.02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$5850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 mg (58.5)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$16.02 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$5850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Average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$5894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Best supportive care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BSC (100)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sz w:val="18"/>
                <w:szCs w:val="22"/>
                <w:lang w:val="en-US"/>
              </w:rPr>
              <w:t>$40.91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365.25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$40.91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Treatment initiation costs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Treatment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Cost per day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Duration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Cost of oral overlap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&lt;EndNote&gt;&lt;Cite&gt;&lt;Author&gt;Analytics&lt;/Author&gt;&lt;Year&gt;2017&lt;/Year&gt;&lt;RecNum&gt;40&lt;/RecNum&gt;&lt;DisplayText&gt;[39]&lt;/DisplayText&gt;&lt;record&gt;&lt;rec-number&gt;40&lt;/rec-number&gt;&lt;foreign-keys&gt;&lt;key app="EN" db-id="avzv2e0dovztegeapxdp9pvvdxa029arap2p" timestamp="1507739092"&gt;40&lt;/key&gt;&lt;/foreign-keys&gt;&lt;ref-type name="Electronic Article"&gt;43&lt;/ref-type&gt;&lt;contributors&gt;&lt;authors&gt;&lt;author&gt;Truven Health Analytics, &lt;/author&gt;&lt;/authors&gt;&lt;/contributors&gt;&lt;titles&gt;&lt;title&gt;RED BOOK Online®&lt;/title&gt;&lt;secondary-title&gt;Micromedex Solutions&lt;/secondary-title&gt;&lt;/titles&gt;&lt;periodical&gt;&lt;full-title&gt;Micromedex Solutions&lt;/full-title&gt;&lt;/periodical&gt;&lt;section&gt;2017&lt;/section&gt;&lt;reprint-edition&gt;Not in File&lt;/reprint-edition&gt;&lt;dates&gt;&lt;year&gt;2017&lt;/year&gt;&lt;pub-dates&gt;&lt;date&gt;2/15/2017&lt;/date&gt;&lt;/pub-dates&gt;&lt;/dates&gt;&lt;label&gt;61&lt;/label&gt;&lt;urls&gt;&lt;related-urls&gt;&lt;url&gt;&lt;style face="underline" font="default" size="100%"&gt;http://micromedex.com/products/product-suites/clinical-knowledge/redbook&lt;/style&gt;&lt;/url&gt;&lt;/related-urls&gt;&lt;/urls&gt;&lt;/record&gt;&lt;/Cite&gt;&lt;/EndNote&gt;</w:instrTex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[</w:t>
            </w:r>
            <w:r w:rsidR="003E4DBC"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40</w:t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lastRenderedPageBreak/>
              <w:t>AOM 400 (oral aripiprazole)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$9.49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14 days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$135.71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Risperidone LAI (oral risperidone)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$5.60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21 days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$117.69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Treatment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Drug cost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Administration cost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Cost of intramuscular overlap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&lt;EndNote&gt;&lt;Cite&gt;&lt;Author&gt;Services&lt;/Author&gt;&lt;Year&gt;2016&lt;/Year&gt;&lt;RecNum&gt;13&lt;/RecNum&gt;&lt;DisplayText&gt;[40]&lt;/DisplayText&gt;&lt;record&gt;&lt;rec-number&gt;13&lt;/rec-number&gt;&lt;foreign-keys&gt;&lt;key app="EN" db-id="avzv2e0dovztegeapxdp9pvvdxa029arap2p" timestamp="1507739069"&gt;13&lt;/key&gt;&lt;/foreign-keys&gt;&lt;ref-type name="Electronic Article"&gt;43&lt;/ref-type&gt;&lt;contributors&gt;&lt;authors&gt;&lt;author&gt;Centers for Medicare and Medicaid Services,&lt;/author&gt;&lt;/authors&gt;&lt;/contributors&gt;&lt;titles&gt;&lt;title&gt;Physician Fee Schedule&lt;/title&gt;&lt;secondary-title&gt;CMS. gov&lt;/secondary-title&gt;&lt;/titles&gt;&lt;periodical&gt;&lt;full-title&gt;CMS. gov&lt;/full-title&gt;&lt;/periodical&gt;&lt;section&gt;2016&lt;/section&gt;&lt;reprint-edition&gt;Not in File&lt;/reprint-edition&gt;&lt;dates&gt;&lt;year&gt;2016&lt;/year&gt;&lt;pub-dates&gt;&lt;date&gt;2/7/2017&lt;/date&gt;&lt;/pub-dates&gt;&lt;/dates&gt;&lt;label&gt;13&lt;/label&gt;&lt;urls&gt;&lt;related-urls&gt;&lt;url&gt;&lt;style face="underline" font="default" size="100%"&gt;https://www.cms.gov/Medicare/Medicare-Fee-for-Service-Payment/PhysicianFeeSched/index.html&lt;/style&gt;&lt;/url&gt;&lt;/related-urls&gt;&lt;/urls&gt;&lt;/record&gt;&lt;/Cite&gt;&lt;/EndNote&gt;</w:instrTex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[4</w:t>
            </w:r>
            <w:r w:rsidR="003E4DBC"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1</w:t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Paliperidone</w:t>
            </w:r>
            <w:proofErr w:type="spellEnd"/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palmitate LAI </w:t>
            </w: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br/>
              <w:t>(234 mg on Day 0; 156 mg on Day 8)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$3829.24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$53.23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$3882.47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Drug administration cost per administration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Route of administration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Cost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 xml:space="preserve">Resource use per administration 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Cycle cost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Reference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Oral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$0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$0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Intramuscular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$26.61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12 administrations: $319.37</w:t>
            </w:r>
          </w:p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26 administrations: $691.97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Health state costs – euthymic state, non-pharmaceutical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Resource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Proportion of cohort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Unit cost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Number per year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cost, per year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&lt;EndNote&gt;&lt;Cite&gt;&lt;Author&gt;Services&lt;/Author&gt;&lt;Year&gt;2016&lt;/Year&gt;&lt;RecNum&gt;13&lt;/RecNum&gt;&lt;DisplayText&gt;[40,41]&lt;/DisplayText&gt;&lt;record&gt;&lt;rec-number&gt;13&lt;/rec-number&gt;&lt;foreign-keys&gt;&lt;key app="EN" db-id="avzv2e0dovztegeapxdp9pvvdxa029arap2p" timestamp="1507739069"&gt;13&lt;/key&gt;&lt;/foreign-keys&gt;&lt;ref-type name="Electronic Article"&gt;43&lt;/ref-type&gt;&lt;contributors&gt;&lt;authors&gt;&lt;author&gt;Centers for Medicare and Medicaid Services,&lt;/author&gt;&lt;/authors&gt;&lt;/contributors&gt;&lt;titles&gt;&lt;title&gt;Physician Fee Schedule&lt;/title&gt;&lt;secondary-title&gt;CMS. gov&lt;/secondary-title&gt;&lt;/titles&gt;&lt;periodical&gt;&lt;full-title&gt;CMS. gov&lt;/full-title&gt;&lt;/periodical&gt;&lt;section&gt;2016&lt;/section&gt;&lt;reprint-edition&gt;Not in File&lt;/reprint-edition&gt;&lt;dates&gt;&lt;year&gt;2016&lt;/year&gt;&lt;pub-dates&gt;&lt;date&gt;2/7/2017&lt;/date&gt;&lt;/pub-dates&gt;&lt;/dates&gt;&lt;label&gt;13&lt;/label&gt;&lt;urls&gt;&lt;related-urls&gt;&lt;url&gt;&lt;style face="underline" font="default" size="100%"&gt;https://www.cms.gov/Medicare/Medicare-Fee-for-Service-Payment/PhysicianFeeSched/index.html&lt;/style&gt;&lt;/url&gt;&lt;/related-urls&gt;&lt;/urls&gt;&lt;/record&gt;&lt;/Cite&gt;&lt;Cite&gt;&lt;Author&gt;Taylor&lt;/Author&gt;&lt;Year&gt;2012&lt;/Year&gt;&lt;RecNum&gt;39&lt;/RecNum&gt;&lt;record&gt;&lt;rec-number&gt;39&lt;/rec-number&gt;&lt;foreign-keys&gt;&lt;key app="EN" db-id="avzv2e0dovztegeapxdp9pvvdxa029arap2p" timestamp="1507739091"&gt;39&lt;/key&gt;&lt;/foreign-keys&gt;&lt;ref-type name="Book"&gt;6&lt;/ref-type&gt;&lt;contributors&gt;&lt;authors&gt;&lt;author&gt;Taylor, D.&lt;/author&gt;&lt;author&gt;Paton, C.&lt;/author&gt;&lt;author&gt;Kapur, S.&lt;/author&gt;&lt;/authors&gt;&lt;tertiary-authors&gt;&lt;author&gt;Taylor, D.&lt;/author&gt;&lt;/tertiary-authors&gt;&lt;/contributors&gt;&lt;titles&gt;&lt;title&gt;The Maudsley Prescribing Guidelines in Psychiatry&lt;/title&gt;&lt;/titles&gt;&lt;edition&gt;11th&lt;/edition&gt;&lt;reprint-edition&gt;Not in File&lt;/reprint-edition&gt;&lt;dates&gt;&lt;year&gt;2012&lt;/year&gt;&lt;pub-dates&gt;&lt;date&gt;2012&lt;/date&gt;&lt;/pub-dates&gt;&lt;/dates&gt;&lt;pub-location&gt;Hoboken, NJ&lt;/pub-location&gt;&lt;publisher&gt;Wiley-Blackwell&lt;/publisher&gt;&lt;label&gt;64&lt;/label&gt;&lt;urls&gt;&lt;/urls&gt;&lt;/record&gt;&lt;/Cite&gt;&lt;/EndNote&gt;</w:instrTex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[4</w:t>
            </w:r>
            <w:r w:rsidR="003E4DBC"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1</w:t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,4</w:t>
            </w:r>
            <w:r w:rsidR="003E4DBC"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2</w:t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Urea and electrolytes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Full blood count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Blood lipids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Weight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$9.50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$9.50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Plasma glucose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$5.86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$5.86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Prolactin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Liver function tests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$12.19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$12.19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Creatinine phosphokinase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8%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$11.59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$0.97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Blood pressure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8%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$9.50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$0.79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Electrocardiogram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8%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$17.19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$1.43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$77.11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Pharmaceutical treatment in the subsequent euthymic state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Treatment (% of patients)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Unit cost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# administrations per year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cost per year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Heading-H56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&lt;EndNote&gt;&lt;Cite&gt;&lt;Author&gt;Analytics&lt;/Author&gt;&lt;Year&gt;2017&lt;/Year&gt;&lt;RecNum&gt;40&lt;/RecNum&gt;&lt;DisplayText&gt;[39]&lt;/DisplayText&gt;&lt;record&gt;&lt;rec-number&gt;40&lt;/rec-number&gt;&lt;foreign-keys&gt;&lt;key app="EN" db-id="avzv2e0dovztegeapxdp9pvvdxa029arap2p" timestamp="1507739092"&gt;40&lt;/key&gt;&lt;/foreign-keys&gt;&lt;ref-type name="Electronic Article"&gt;43&lt;/ref-type&gt;&lt;contributors&gt;&lt;authors&gt;&lt;author&gt;Truven Health Analytics, &lt;/author&gt;&lt;/authors&gt;&lt;/contributors&gt;&lt;titles&gt;&lt;title&gt;RED BOOK Online®&lt;/title&gt;&lt;secondary-title&gt;Micromedex Solutions&lt;/secondary-title&gt;&lt;/titles&gt;&lt;periodical&gt;&lt;full-title&gt;Micromedex Solutions&lt;/full-title&gt;&lt;/periodical&gt;&lt;section&gt;2017&lt;/section&gt;&lt;reprint-edition&gt;Not in File&lt;/reprint-edition&gt;&lt;dates&gt;&lt;year&gt;2017&lt;/year&gt;&lt;pub-dates&gt;&lt;date&gt;2/15/2017&lt;/date&gt;&lt;/pub-dates&gt;&lt;/dates&gt;&lt;label&gt;61&lt;/label&gt;&lt;urls&gt;&lt;related-urls&gt;&lt;url&gt;&lt;style face="underline" font="default" size="100%"&gt;http://micromedex.com/products/product-suites/clinical-knowledge/redbook&lt;/style&gt;&lt;/url&gt;&lt;/related-urls&gt;&lt;/urls&gt;&lt;/record&gt;&lt;/Cite&gt;&lt;/EndNote&gt;</w:instrTex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[</w:t>
            </w:r>
            <w:r w:rsidR="003E4DBC"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40</w:t>
            </w:r>
            <w:r>
              <w:rPr>
                <w:rFonts w:ascii="Calibri" w:hAnsi="Calibri"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Aripiprazole once-monthly (17%)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$21,521.69 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$3,586.95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LAI risperidone (17%)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$15,624.84 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$2,604.14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LAI </w:t>
            </w:r>
            <w:proofErr w:type="spellStart"/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paliperidone</w:t>
            </w:r>
            <w:proofErr w:type="spellEnd"/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(17%)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$20,205.16 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$3,367.53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lastRenderedPageBreak/>
              <w:t xml:space="preserve">Oral </w:t>
            </w:r>
            <w:proofErr w:type="spellStart"/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cariprazine</w:t>
            </w:r>
            <w:proofErr w:type="spellEnd"/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(17%)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$12,249.02 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$2,041.50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Oral </w:t>
            </w:r>
            <w:proofErr w:type="spellStart"/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asenapine</w:t>
            </w:r>
            <w:proofErr w:type="spellEnd"/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(17%)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$5,894.12 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$982.35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BSC (17%)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$40.91 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$6.82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(100%)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$12,589.29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Pharmaceutical treatment – manic episode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Treatment (% of patients)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Unit cost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# Administrations per year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cost per year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&lt;EndNote&gt;&lt;Cite&gt;&lt;Author&gt;Analytics&lt;/Author&gt;&lt;Year&gt;2017&lt;/Year&gt;&lt;RecNum&gt;40&lt;/RecNum&gt;&lt;DisplayText&gt;[39]&lt;/DisplayText&gt;&lt;record&gt;&lt;rec-number&gt;40&lt;/rec-number&gt;&lt;foreign-keys&gt;&lt;key app="EN" db-id="avzv2e0dovztegeapxdp9pvvdxa029arap2p" timestamp="1507739092"&gt;40&lt;/key&gt;&lt;/foreign-keys&gt;&lt;ref-type name="Electronic Article"&gt;43&lt;/ref-type&gt;&lt;contributors&gt;&lt;authors&gt;&lt;author&gt;Truven Health Analytics, &lt;/author&gt;&lt;/authors&gt;&lt;/contributors&gt;&lt;titles&gt;&lt;title&gt;RED BOOK Online®&lt;/title&gt;&lt;secondary-title&gt;Micromedex Solutions&lt;/secondary-title&gt;&lt;/titles&gt;&lt;periodical&gt;&lt;full-title&gt;Micromedex Solutions&lt;/full-title&gt;&lt;/periodical&gt;&lt;section&gt;2017&lt;/section&gt;&lt;reprint-edition&gt;Not in File&lt;/reprint-edition&gt;&lt;dates&gt;&lt;year&gt;2017&lt;/year&gt;&lt;pub-dates&gt;&lt;date&gt;2/15/2017&lt;/date&gt;&lt;/pub-dates&gt;&lt;/dates&gt;&lt;label&gt;61&lt;/label&gt;&lt;urls&gt;&lt;related-urls&gt;&lt;url&gt;&lt;style face="underline" font="default" size="100%"&gt;http://micromedex.com/products/product-suites/clinical-knowledge/redbook&lt;/style&gt;&lt;/url&gt;&lt;/related-urls&gt;&lt;/urls&gt;&lt;/record&gt;&lt;/Cite&gt;&lt;/EndNote&gt;</w:instrTex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[</w:t>
            </w:r>
            <w:r w:rsidR="003E4DBC"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40</w:t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Lithium (600mgx2.5/day)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$1.51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$6.91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Valproate (60mg/kg/day) (assuming 70kg)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$200.73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$916.46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Oral risperidone (6mg/day)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$5.60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$25.59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Olanzapine (10-15mg/day)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$4.19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$19.13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Carbamazepine (200mgx2/day)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$2.64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$12.07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Quetiapine (600mg/day)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$2.85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$13.02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Oral aripiprazole (30mg/day)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$11.96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$54.60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Zipra</w: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s</w:t>
            </w: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idone (40mgx2/day)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$3.90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$17.79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(100%)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$1065.58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Hospitalization cost – manic episode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Type of hospitalization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Proportion of patients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Cost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cost per year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&lt;EndNote&gt;&lt;Cite&gt;&lt;Author&gt;Quality&lt;/Author&gt;&lt;Year&gt;2012&lt;/Year&gt;&lt;RecNum&gt;22&lt;/RecNum&gt;&lt;DisplayText&gt;[43]&lt;/DisplayText&gt;&lt;record&gt;&lt;rec-number&gt;22&lt;/rec-number&gt;&lt;foreign-keys&gt;&lt;key app="EN" db-id="avzv2e0dovztegeapxdp9pvvdxa029arap2p" timestamp="1507739077"&gt;22&lt;/key&gt;&lt;/foreign-keys&gt;&lt;ref-type name="Electronic Article"&gt;43&lt;/ref-type&gt;&lt;contributors&gt;&lt;authors&gt;&lt;author&gt;Agency for Healthcare Research and Quality,&lt;/author&gt;&lt;/authors&gt;&lt;/contributors&gt;&lt;titles&gt;&lt;title&gt;HCUP National Inpatient Sample&lt;/title&gt;&lt;secondary-title&gt;AHRQ&lt;/secondary-title&gt;&lt;/titles&gt;&lt;periodical&gt;&lt;full-title&gt;AHRQ&lt;/full-title&gt;&lt;/periodical&gt;&lt;section&gt;2012&lt;/section&gt;&lt;reprint-edition&gt;Not in File&lt;/reprint-edition&gt;&lt;dates&gt;&lt;year&gt;2012&lt;/year&gt;&lt;pub-dates&gt;&lt;date&gt;9/7/2017&lt;/date&gt;&lt;/pub-dates&gt;&lt;/dates&gt;&lt;label&gt;22&lt;/label&gt;&lt;urls&gt;&lt;related-urls&gt;&lt;url&gt;&lt;style face="underline" font="default" size="100%"&gt;https://www.hcup-us.ahrq.gov/nisoverview.jsp&lt;/style&gt;&lt;/url&gt;&lt;/related-urls&gt;&lt;/urls&gt;&lt;/record&gt;&lt;/Cite&gt;&lt;/EndNote&gt;</w:instrTex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[4</w:t>
            </w:r>
            <w:r w:rsidR="003E4DBC"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4</w:t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ICD-9-CM diagnosis codes 296.00-296.06, 296.10-296.16, 296.40-296.46, 296.81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$8753.74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$8753.74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Pharmaceutical treatment – depressive episode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Treatment (% of patients)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Unit cost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# Administrations per year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cost per year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&lt;EndNote&gt;&lt;Cite&gt;&lt;Author&gt;Analytics&lt;/Author&gt;&lt;Year&gt;2017&lt;/Year&gt;&lt;RecNum&gt;40&lt;/RecNum&gt;&lt;DisplayText&gt;[39]&lt;/DisplayText&gt;&lt;record&gt;&lt;rec-number&gt;40&lt;/rec-number&gt;&lt;foreign-keys&gt;&lt;key app="EN" db-id="avzv2e0dovztegeapxdp9pvvdxa029arap2p" timestamp="1507739092"&gt;40&lt;/key&gt;&lt;/foreign-keys&gt;&lt;ref-type name="Electronic Article"&gt;43&lt;/ref-type&gt;&lt;contributors&gt;&lt;authors&gt;&lt;author&gt;Truven Health Analytics, &lt;/author&gt;&lt;/authors&gt;&lt;/contributors&gt;&lt;titles&gt;&lt;title&gt;RED BOOK Online®&lt;/title&gt;&lt;secondary-title&gt;Micromedex Solutions&lt;/secondary-title&gt;&lt;/titles&gt;&lt;periodical&gt;&lt;full-title&gt;Micromedex Solutions&lt;/full-title&gt;&lt;/periodical&gt;&lt;section&gt;2017&lt;/section&gt;&lt;reprint-edition&gt;Not in File&lt;/reprint-edition&gt;&lt;dates&gt;&lt;year&gt;2017&lt;/year&gt;&lt;pub-dates&gt;&lt;date&gt;2/15/2017&lt;/date&gt;&lt;/pub-dates&gt;&lt;/dates&gt;&lt;label&gt;61&lt;/label&gt;&lt;urls&gt;&lt;related-urls&gt;&lt;url&gt;&lt;style face="underline" font="default" size="100%"&gt;http://micromedex.com/products/product-suites/clinical-knowledge/redbook&lt;/style&gt;&lt;/url&gt;&lt;/related-urls&gt;&lt;/urls&gt;&lt;/record&gt;&lt;/Cite&gt;&lt;/EndNote&gt;</w:instrTex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[</w:t>
            </w:r>
            <w:r w:rsidR="003E4DBC"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40</w:t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Olanzapine (5 mg) + fluoxetine (20 mg) (25%)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$11.30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116.88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$330.13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Quetiapine (300mg/day) (25%)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$1.43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116.88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$41.68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Lamotrigine (150 mg) (25%)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$16.27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116.88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$475.34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Lithium (600mgx2/day) + </w:t>
            </w: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lastRenderedPageBreak/>
              <w:t>fluoxetine (20mg) (25%)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lastRenderedPageBreak/>
              <w:t xml:space="preserve">$2.70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116.88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$78.75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lastRenderedPageBreak/>
              <w:t>Total (100%)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$925.89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Hospitalization cost – depressive episode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Type of hospitalization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Proportion of patients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Cost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cost per year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&lt;EndNote&gt;&lt;Cite&gt;&lt;Author&gt;Quality&lt;/Author&gt;&lt;Year&gt;2012&lt;/Year&gt;&lt;RecNum&gt;22&lt;/RecNum&gt;&lt;DisplayText&gt;[43]&lt;/DisplayText&gt;&lt;record&gt;&lt;rec-number&gt;22&lt;/rec-number&gt;&lt;foreign-keys&gt;&lt;key app="EN" db-id="avzv2e0dovztegeapxdp9pvvdxa029arap2p" timestamp="1507739077"&gt;22&lt;/key&gt;&lt;/foreign-keys&gt;&lt;ref-type name="Electronic Article"&gt;43&lt;/ref-type&gt;&lt;contributors&gt;&lt;authors&gt;&lt;author&gt;Agency for Healthcare Research and Quality,&lt;/author&gt;&lt;/authors&gt;&lt;/contributors&gt;&lt;titles&gt;&lt;title&gt;HCUP National Inpatient Sample&lt;/title&gt;&lt;secondary-title&gt;AHRQ&lt;/secondary-title&gt;&lt;/titles&gt;&lt;periodical&gt;&lt;full-title&gt;AHRQ&lt;/full-title&gt;&lt;/periodical&gt;&lt;section&gt;2012&lt;/section&gt;&lt;reprint-edition&gt;Not in File&lt;/reprint-edition&gt;&lt;dates&gt;&lt;year&gt;2012&lt;/year&gt;&lt;pub-dates&gt;&lt;date&gt;9/7/2017&lt;/date&gt;&lt;/pub-dates&gt;&lt;/dates&gt;&lt;label&gt;22&lt;/label&gt;&lt;urls&gt;&lt;related-urls&gt;&lt;url&gt;&lt;style face="underline" font="default" size="100%"&gt;https://www.hcup-us.ahrq.gov/nisoverview.jsp&lt;/style&gt;&lt;/url&gt;&lt;/related-urls&gt;&lt;/urls&gt;&lt;/record&gt;&lt;/Cite&gt;&lt;/EndNote&gt;</w:instrTex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[4</w:t>
            </w:r>
            <w:r w:rsidR="003E4DBC"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4</w:t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ICD-9-CM diagnosis codes 296.50-296.56, 296.82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$5675.42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$5675.42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Pharmaceutical treatment – mixed episode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Treatment (% of patients)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Unit cost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# Administrations per year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cost per year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&lt;EndNote&gt;&lt;Cite&gt;&lt;Author&gt;Analytics&lt;/Author&gt;&lt;Year&gt;2017&lt;/Year&gt;&lt;RecNum&gt;40&lt;/RecNum&gt;&lt;DisplayText&gt;[39]&lt;/DisplayText&gt;&lt;record&gt;&lt;rec-number&gt;40&lt;/rec-number&gt;&lt;foreign-keys&gt;&lt;key app="EN" db-id="avzv2e0dovztegeapxdp9pvvdxa029arap2p" timestamp="1507739092"&gt;40&lt;/key&gt;&lt;/foreign-keys&gt;&lt;ref-type name="Electronic Article"&gt;43&lt;/ref-type&gt;&lt;contributors&gt;&lt;authors&gt;&lt;author&gt;Truven Health Analytics, &lt;/author&gt;&lt;/authors&gt;&lt;/contributors&gt;&lt;titles&gt;&lt;title&gt;RED BOOK Online®&lt;/title&gt;&lt;secondary-title&gt;Micromedex Solutions&lt;/secondary-title&gt;&lt;/titles&gt;&lt;periodical&gt;&lt;full-title&gt;Micromedex Solutions&lt;/full-title&gt;&lt;/periodical&gt;&lt;section&gt;2017&lt;/section&gt;&lt;reprint-edition&gt;Not in File&lt;/reprint-edition&gt;&lt;dates&gt;&lt;year&gt;2017&lt;/year&gt;&lt;pub-dates&gt;&lt;date&gt;2/15/2017&lt;/date&gt;&lt;/pub-dates&gt;&lt;/dates&gt;&lt;label&gt;61&lt;/label&gt;&lt;urls&gt;&lt;related-urls&gt;&lt;url&gt;&lt;style face="underline" font="default" size="100%"&gt;http://micromedex.com/products/product-suites/clinical-knowledge/redbook&lt;/style&gt;&lt;/url&gt;&lt;/related-urls&gt;&lt;/urls&gt;&lt;/record&gt;&lt;/Cite&gt;&lt;/EndNote&gt;</w:instrTex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[</w:t>
            </w:r>
            <w:r w:rsidR="003E4DBC"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40</w:t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Lithium (600mgx2.5/day)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$1.51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$6.91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Valproate (60mg/kg/day) (assuming 70kg)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$200.73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$916.46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Oral risperidone (6mg/day)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$5.60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$25.59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Olanzapine (10-15mg/day)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$4.19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$19.13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Carbamazepine (200mgx2/day)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$2.64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$12.07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Quetiapine (600mg/day)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$2.85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$13.02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Oral aripiprazole (30mg/day)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$11.96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$54.60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Zipra</w:t>
            </w: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s</w:t>
            </w: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idone (40mgx2/day) (13%)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$3.90 </w:t>
            </w:r>
          </w:p>
        </w:tc>
        <w:tc>
          <w:tcPr>
            <w:tcW w:w="0" w:type="auto"/>
            <w:gridSpan w:val="2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>36.53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40C4D" w:rsidRPr="00F3437F" w:rsidRDefault="00040C4D" w:rsidP="00B81A05">
            <w:pPr>
              <w:jc w:val="center"/>
              <w:outlineLvl w:val="0"/>
              <w:rPr>
                <w:rFonts w:ascii="Calibri" w:hAnsi="Calibri"/>
                <w:sz w:val="18"/>
                <w:lang w:val="en-US"/>
              </w:rPr>
            </w:pPr>
            <w:r w:rsidRPr="00F3437F">
              <w:rPr>
                <w:rFonts w:ascii="Calibri" w:hAnsi="Calibri"/>
                <w:sz w:val="18"/>
                <w:lang w:val="en-US"/>
              </w:rPr>
              <w:t xml:space="preserve">$17.79 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(100%)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$1065.58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  <w:tr w:rsidR="00040C4D" w:rsidRPr="00F3437F" w:rsidTr="00B81A05">
        <w:tc>
          <w:tcPr>
            <w:tcW w:w="0" w:type="auto"/>
            <w:gridSpan w:val="8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 xml:space="preserve">Hospitalization cost - </w:t>
            </w:r>
            <w:r w:rsidRPr="00F3437F"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  <w:t>mixed episode</w:t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Type of hospitalization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Proportion of patients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Cost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Total cost per year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Distribution in the PSA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Reference</w:t>
            </w:r>
          </w:p>
          <w:p w:rsidR="00040C4D" w:rsidRPr="00F3437F" w:rsidRDefault="00040C4D" w:rsidP="003E4DBC">
            <w:pPr>
              <w:pStyle w:val="TableBodyText-H54"/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instrText xml:space="preserve"> ADDIN EN.CITE &lt;EndNote&gt;&lt;Cite&gt;&lt;Author&gt;Quality&lt;/Author&gt;&lt;Year&gt;2012&lt;/Year&gt;&lt;RecNum&gt;22&lt;/RecNum&gt;&lt;DisplayText&gt;[43]&lt;/DisplayText&gt;&lt;record&gt;&lt;rec-number&gt;22&lt;/rec-number&gt;&lt;foreign-keys&gt;&lt;key app="EN" db-id="avzv2e0dovztegeapxdp9pvvdxa029arap2p" timestamp="1507739077"&gt;22&lt;/key&gt;&lt;/foreign-keys&gt;&lt;ref-type name="Electronic Article"&gt;43&lt;/ref-type&gt;&lt;contributors&gt;&lt;authors&gt;&lt;author&gt;Agency for Healthcare Research and Quality,&lt;/author&gt;&lt;/authors&gt;&lt;/contributors&gt;&lt;titles&gt;&lt;title&gt;HCUP National Inpatient Sample&lt;/title&gt;&lt;secondary-title&gt;AHRQ&lt;/secondary-title&gt;&lt;/titles&gt;&lt;periodical&gt;&lt;full-title&gt;AHRQ&lt;/full-title&gt;&lt;/periodical&gt;&lt;section&gt;2012&lt;/section&gt;&lt;reprint-edition&gt;Not in File&lt;/reprint-edition&gt;&lt;dates&gt;&lt;year&gt;2012&lt;/year&gt;&lt;pub-dates&gt;&lt;date&gt;9/7/2017&lt;/date&gt;&lt;/pub-dates&gt;&lt;/dates&gt;&lt;label&gt;22&lt;/label&gt;&lt;urls&gt;&lt;related-urls&gt;&lt;url&gt;&lt;style face="underline" font="default" size="100%"&gt;https://www.hcup-us.ahrq.gov/nisoverview.jsp&lt;/style&gt;&lt;/url&gt;&lt;/related-urls&gt;&lt;/urls&gt;&lt;/record&gt;&lt;/Cite&gt;&lt;/EndNote&gt;</w:instrTex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[4</w:t>
            </w:r>
            <w:r w:rsidR="003E4DBC"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4</w:t>
            </w:r>
            <w:r>
              <w:rPr>
                <w:rFonts w:ascii="Calibri" w:hAnsi="Calibri"/>
                <w:b/>
                <w:noProof/>
                <w:color w:val="000000"/>
                <w:sz w:val="18"/>
                <w:szCs w:val="18"/>
                <w:lang w:val="en-US"/>
              </w:rPr>
              <w:t>]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fldChar w:fldCharType="end"/>
            </w:r>
          </w:p>
        </w:tc>
      </w:tr>
      <w:tr w:rsidR="00040C4D" w:rsidRPr="00F3437F" w:rsidTr="00B81A05"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ICD-9-CM diagnosis codes 296.60-296.66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100%</w:t>
            </w:r>
          </w:p>
        </w:tc>
        <w:tc>
          <w:tcPr>
            <w:tcW w:w="0" w:type="auto"/>
            <w:gridSpan w:val="2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$5976.43</w:t>
            </w:r>
          </w:p>
        </w:tc>
        <w:tc>
          <w:tcPr>
            <w:tcW w:w="0" w:type="auto"/>
            <w:shd w:val="clear" w:color="auto" w:fill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$5976.43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F3437F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Gamma</w:t>
            </w:r>
          </w:p>
        </w:tc>
        <w:tc>
          <w:tcPr>
            <w:tcW w:w="0" w:type="auto"/>
          </w:tcPr>
          <w:p w:rsidR="00040C4D" w:rsidRPr="00F3437F" w:rsidRDefault="00040C4D" w:rsidP="00B81A05">
            <w:pPr>
              <w:pStyle w:val="TableBodyText-H54"/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val="en-US"/>
              </w:rPr>
            </w:pPr>
          </w:p>
        </w:tc>
      </w:tr>
    </w:tbl>
    <w:p w:rsidR="00040C4D" w:rsidRPr="00F3437F" w:rsidRDefault="00040C4D" w:rsidP="00040C4D">
      <w:pPr>
        <w:rPr>
          <w:lang w:val="en-US"/>
        </w:rPr>
      </w:pPr>
    </w:p>
    <w:p w:rsidR="00040C4D" w:rsidRPr="00F3437F" w:rsidRDefault="00040C4D" w:rsidP="00040C4D">
      <w:pPr>
        <w:rPr>
          <w:lang w:val="en-US"/>
        </w:rPr>
      </w:pPr>
      <w:r w:rsidRPr="00F3437F">
        <w:rPr>
          <w:lang w:val="en-US"/>
        </w:rPr>
        <w:br w:type="page"/>
      </w:r>
    </w:p>
    <w:p w:rsidR="00040C4D" w:rsidRPr="00F3437F" w:rsidRDefault="00040C4D" w:rsidP="00040C4D">
      <w:pPr>
        <w:keepNext/>
        <w:spacing w:line="360" w:lineRule="auto"/>
        <w:outlineLvl w:val="0"/>
        <w:rPr>
          <w:rFonts w:ascii="Calibri" w:hAnsi="Calibri" w:cs="Arial"/>
          <w:b/>
          <w:bCs/>
          <w:kern w:val="32"/>
          <w:lang w:val="en-US"/>
        </w:rPr>
      </w:pPr>
      <w:proofErr w:type="gramStart"/>
      <w:r w:rsidRPr="00F3437F">
        <w:rPr>
          <w:rFonts w:ascii="Calibri" w:hAnsi="Calibri" w:cs="Arial"/>
          <w:b/>
          <w:bCs/>
          <w:kern w:val="32"/>
          <w:lang w:val="en-US"/>
        </w:rPr>
        <w:lastRenderedPageBreak/>
        <w:t>Supplemental Table 4.</w:t>
      </w:r>
      <w:proofErr w:type="gramEnd"/>
      <w:r w:rsidRPr="00F3437F">
        <w:rPr>
          <w:rFonts w:ascii="Calibri" w:hAnsi="Calibri" w:cs="Arial"/>
          <w:b/>
          <w:bCs/>
          <w:kern w:val="32"/>
          <w:lang w:val="en-US"/>
        </w:rPr>
        <w:t xml:space="preserve"> </w:t>
      </w:r>
      <w:proofErr w:type="gramStart"/>
      <w:r w:rsidRPr="00F3437F">
        <w:rPr>
          <w:rFonts w:ascii="Calibri" w:hAnsi="Calibri" w:cs="Arial"/>
          <w:b/>
          <w:bCs/>
          <w:kern w:val="32"/>
          <w:lang w:val="en-US"/>
        </w:rPr>
        <w:t>Key assumptions and data gaps within the economic model.</w:t>
      </w:r>
      <w:proofErr w:type="gramEnd"/>
    </w:p>
    <w:tbl>
      <w:tblPr>
        <w:tblW w:w="8931" w:type="dxa"/>
        <w:tblInd w:w="108" w:type="dxa"/>
        <w:tblBorders>
          <w:top w:val="single" w:sz="18" w:space="0" w:color="003870"/>
          <w:bottom w:val="single" w:sz="12" w:space="0" w:color="003870"/>
          <w:insideH w:val="single" w:sz="8" w:space="0" w:color="808080"/>
        </w:tblBorders>
        <w:tblLook w:val="0420" w:firstRow="1" w:lastRow="0" w:firstColumn="0" w:lastColumn="0" w:noHBand="0" w:noVBand="1"/>
      </w:tblPr>
      <w:tblGrid>
        <w:gridCol w:w="1418"/>
        <w:gridCol w:w="2410"/>
        <w:gridCol w:w="1559"/>
        <w:gridCol w:w="3544"/>
      </w:tblGrid>
      <w:tr w:rsidR="00040C4D" w:rsidRPr="00F3437F" w:rsidTr="00B81A05">
        <w:trPr>
          <w:trHeight w:val="295"/>
        </w:trPr>
        <w:tc>
          <w:tcPr>
            <w:tcW w:w="1418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  <w:vAlign w:val="center"/>
            <w:hideMark/>
          </w:tcPr>
          <w:p w:rsidR="00040C4D" w:rsidRPr="00F3437F" w:rsidRDefault="00040C4D" w:rsidP="00B81A05">
            <w:pPr>
              <w:keepNext/>
              <w:tabs>
                <w:tab w:val="left" w:pos="1440"/>
              </w:tabs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</w:pPr>
            <w:r w:rsidRPr="00F3437F"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  <w:t>Model input</w:t>
            </w:r>
          </w:p>
        </w:tc>
        <w:tc>
          <w:tcPr>
            <w:tcW w:w="2410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  <w:vAlign w:val="center"/>
            <w:hideMark/>
          </w:tcPr>
          <w:p w:rsidR="00040C4D" w:rsidRPr="00F3437F" w:rsidRDefault="00040C4D" w:rsidP="00B81A05">
            <w:pPr>
              <w:keepNext/>
              <w:tabs>
                <w:tab w:val="left" w:pos="1440"/>
              </w:tabs>
              <w:jc w:val="center"/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</w:pPr>
            <w:r w:rsidRPr="00F3437F"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  <w:t>Data gap/assumption</w:t>
            </w:r>
          </w:p>
        </w:tc>
        <w:tc>
          <w:tcPr>
            <w:tcW w:w="1559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  <w:vAlign w:val="center"/>
            <w:hideMark/>
          </w:tcPr>
          <w:p w:rsidR="00040C4D" w:rsidRPr="00F3437F" w:rsidRDefault="00040C4D" w:rsidP="00B81A05">
            <w:pPr>
              <w:keepNext/>
              <w:tabs>
                <w:tab w:val="left" w:pos="1440"/>
              </w:tabs>
              <w:jc w:val="center"/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</w:pPr>
            <w:r w:rsidRPr="00F3437F"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  <w:t>Impact on IC</w:t>
            </w:r>
            <w:r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  <w:t>E</w:t>
            </w:r>
            <w:r w:rsidRPr="00F3437F"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  <w:t>R</w:t>
            </w:r>
          </w:p>
        </w:tc>
        <w:tc>
          <w:tcPr>
            <w:tcW w:w="3544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  <w:tl2br w:val="nil"/>
              <w:tr2bl w:val="nil"/>
            </w:tcBorders>
            <w:shd w:val="clear" w:color="auto" w:fill="FFFFFF"/>
            <w:vAlign w:val="center"/>
            <w:hideMark/>
          </w:tcPr>
          <w:p w:rsidR="00040C4D" w:rsidRPr="00F3437F" w:rsidRDefault="00040C4D" w:rsidP="00B81A05">
            <w:pPr>
              <w:keepNext/>
              <w:tabs>
                <w:tab w:val="left" w:pos="1440"/>
              </w:tabs>
              <w:jc w:val="center"/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</w:pPr>
            <w:r w:rsidRPr="00F3437F">
              <w:rPr>
                <w:rFonts w:ascii="Calibri" w:eastAsia="Arial Unicode MS" w:hAnsi="Calibri"/>
                <w:b/>
                <w:sz w:val="16"/>
                <w:szCs w:val="44"/>
                <w:lang w:val="en-US"/>
              </w:rPr>
              <w:t>Explanation</w:t>
            </w:r>
          </w:p>
        </w:tc>
      </w:tr>
      <w:tr w:rsidR="00040C4D" w:rsidRPr="00F3437F" w:rsidTr="00B81A05">
        <w:trPr>
          <w:trHeight w:val="584"/>
        </w:trPr>
        <w:tc>
          <w:tcPr>
            <w:tcW w:w="1418" w:type="dxa"/>
            <w:tcBorders>
              <w:top w:val="single" w:sz="8" w:space="0" w:color="808080"/>
            </w:tcBorders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Mood episode probabilities</w:t>
            </w:r>
          </w:p>
        </w:tc>
        <w:tc>
          <w:tcPr>
            <w:tcW w:w="2410" w:type="dxa"/>
            <w:tcBorders>
              <w:top w:val="single" w:sz="8" w:space="0" w:color="808080"/>
            </w:tcBorders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 xml:space="preserve">All oral comparators are assumed to have the same probabilities of relapse </w:t>
            </w:r>
          </w:p>
        </w:tc>
        <w:tc>
          <w:tcPr>
            <w:tcW w:w="1559" w:type="dxa"/>
            <w:tcBorders>
              <w:top w:val="single" w:sz="8" w:space="0" w:color="808080"/>
            </w:tcBorders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High Impact</w:t>
            </w:r>
          </w:p>
        </w:tc>
        <w:tc>
          <w:tcPr>
            <w:tcW w:w="3544" w:type="dxa"/>
            <w:tcBorders>
              <w:top w:val="single" w:sz="8" w:space="0" w:color="808080"/>
            </w:tcBorders>
            <w:shd w:val="clear" w:color="auto" w:fill="auto"/>
            <w:vAlign w:val="center"/>
          </w:tcPr>
          <w:p w:rsidR="00040C4D" w:rsidRPr="00F3437F" w:rsidRDefault="00040C4D" w:rsidP="00B81A05">
            <w:pPr>
              <w:keepLines/>
              <w:widowControl w:val="0"/>
              <w:spacing w:before="40"/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Due to the lack of head-to-head comparisons and published meta-analysis or mixed treatment comparison, the assumption was made as deemed justified</w:t>
            </w:r>
          </w:p>
        </w:tc>
      </w:tr>
      <w:tr w:rsidR="00040C4D" w:rsidRPr="00F3437F" w:rsidTr="00B81A05">
        <w:trPr>
          <w:trHeight w:val="584"/>
        </w:trPr>
        <w:tc>
          <w:tcPr>
            <w:tcW w:w="1418" w:type="dxa"/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Disease costs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It is assumed that the euthymic, manic, mixed and depressive health states costs are applied as a constant cost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Medium impact</w:t>
            </w:r>
          </w:p>
        </w:tc>
        <w:tc>
          <w:tcPr>
            <w:tcW w:w="3544" w:type="dxa"/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keepLines/>
              <w:widowControl w:val="0"/>
              <w:spacing w:before="40"/>
              <w:rPr>
                <w:rFonts w:ascii="Calibri" w:hAnsi="Calibri"/>
                <w:sz w:val="16"/>
                <w:szCs w:val="20"/>
                <w:lang w:val="en-US"/>
              </w:rPr>
            </w:pPr>
            <w:r w:rsidRPr="00F3437F">
              <w:rPr>
                <w:rFonts w:ascii="Calibri" w:hAnsi="Calibri"/>
                <w:sz w:val="16"/>
                <w:szCs w:val="20"/>
                <w:lang w:val="en-US"/>
              </w:rPr>
              <w:t>Assuming these costs are constant is a conservative approach. There is insufficient evidence to amend this assumption</w:t>
            </w:r>
          </w:p>
        </w:tc>
      </w:tr>
      <w:tr w:rsidR="00040C4D" w:rsidRPr="00F3437F" w:rsidTr="00B81A05">
        <w:trPr>
          <w:trHeight w:val="584"/>
        </w:trPr>
        <w:tc>
          <w:tcPr>
            <w:tcW w:w="1418" w:type="dxa"/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proofErr w:type="spellStart"/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QoL</w:t>
            </w:r>
            <w:proofErr w:type="spellEnd"/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Treatment-specific utility values per health state are not applied; the model uses an overall value for all treatments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Medium impact</w:t>
            </w:r>
          </w:p>
        </w:tc>
        <w:tc>
          <w:tcPr>
            <w:tcW w:w="3544" w:type="dxa"/>
            <w:shd w:val="clear" w:color="auto" w:fill="auto"/>
            <w:hideMark/>
          </w:tcPr>
          <w:p w:rsidR="00040C4D" w:rsidRPr="00F3437F" w:rsidRDefault="00040C4D" w:rsidP="00B81A05">
            <w:pPr>
              <w:keepLines/>
              <w:widowControl w:val="0"/>
              <w:spacing w:before="40"/>
              <w:rPr>
                <w:rFonts w:ascii="Calibri" w:hAnsi="Calibri"/>
                <w:sz w:val="16"/>
                <w:szCs w:val="20"/>
                <w:lang w:val="en-US"/>
              </w:rPr>
            </w:pPr>
            <w:r w:rsidRPr="00F3437F">
              <w:rPr>
                <w:rFonts w:ascii="Calibri" w:hAnsi="Calibri"/>
                <w:sz w:val="16"/>
                <w:szCs w:val="20"/>
                <w:lang w:val="en-US"/>
              </w:rPr>
              <w:t>As some of the comparators are used off label in the treatment of BP-I, there were no data available on the utility levels of target patients treated with all comparators</w:t>
            </w:r>
          </w:p>
        </w:tc>
      </w:tr>
      <w:tr w:rsidR="00040C4D" w:rsidRPr="00F3437F" w:rsidTr="00B81A05">
        <w:trPr>
          <w:trHeight w:val="584"/>
        </w:trPr>
        <w:tc>
          <w:tcPr>
            <w:tcW w:w="1418" w:type="dxa"/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Maintenance therapy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No maintenance treatment is assumed during a cycle with an acute episode.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Low impact</w:t>
            </w:r>
          </w:p>
        </w:tc>
        <w:tc>
          <w:tcPr>
            <w:tcW w:w="3544" w:type="dxa"/>
            <w:shd w:val="clear" w:color="auto" w:fill="auto"/>
          </w:tcPr>
          <w:p w:rsidR="00040C4D" w:rsidRPr="00F3437F" w:rsidRDefault="00040C4D" w:rsidP="00B81A05">
            <w:pPr>
              <w:keepLines/>
              <w:widowControl w:val="0"/>
              <w:spacing w:before="40"/>
              <w:rPr>
                <w:rFonts w:ascii="Calibri" w:hAnsi="Calibri"/>
                <w:sz w:val="16"/>
                <w:szCs w:val="20"/>
                <w:lang w:val="en-US"/>
              </w:rPr>
            </w:pPr>
            <w:r w:rsidRPr="00F3437F">
              <w:rPr>
                <w:rFonts w:ascii="Calibri" w:hAnsi="Calibri"/>
                <w:sz w:val="16"/>
                <w:szCs w:val="20"/>
                <w:lang w:val="en-US"/>
              </w:rPr>
              <w:t>This is a conservative approach since AOM with better efficacy will have more time on maintenance treatment than less efficacious drugs.</w:t>
            </w:r>
          </w:p>
        </w:tc>
      </w:tr>
      <w:tr w:rsidR="00040C4D" w:rsidRPr="00F3437F" w:rsidTr="00B81A05">
        <w:trPr>
          <w:trHeight w:val="584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Compliance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 xml:space="preserve">The model assumes compliance 100% to treatment 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40C4D" w:rsidRPr="00F3437F" w:rsidRDefault="00040C4D" w:rsidP="00B81A05">
            <w:pPr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Medium to low impact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</w:tcPr>
          <w:p w:rsidR="00040C4D" w:rsidRPr="00F3437F" w:rsidRDefault="00040C4D" w:rsidP="00B81A05">
            <w:pPr>
              <w:keepLines/>
              <w:widowControl w:val="0"/>
              <w:spacing w:before="40"/>
              <w:rPr>
                <w:rFonts w:ascii="Calibri" w:hAnsi="Calibri"/>
                <w:sz w:val="16"/>
                <w:szCs w:val="20"/>
                <w:lang w:val="en-US"/>
              </w:rPr>
            </w:pPr>
            <w:r w:rsidRPr="00F3437F">
              <w:rPr>
                <w:rFonts w:ascii="Calibri" w:hAnsi="Calibri"/>
                <w:sz w:val="16"/>
                <w:szCs w:val="20"/>
                <w:lang w:val="en-US"/>
              </w:rPr>
              <w:t xml:space="preserve">Traditionally, compliance rates seen within clinical trials are higher than those in a real-world setting and the evidence suggested compliance is lower in BP-I patients than in other disease areas. However, the expected compliance of AOM 400, and the impact this has on efficacy, is unknown at this point. Without further information, a 100% compliance rate is inherently assumed </w:t>
            </w:r>
          </w:p>
        </w:tc>
      </w:tr>
      <w:tr w:rsidR="00040C4D" w:rsidRPr="00F3437F" w:rsidTr="00B81A05">
        <w:trPr>
          <w:trHeight w:val="584"/>
        </w:trPr>
        <w:tc>
          <w:tcPr>
            <w:tcW w:w="1418" w:type="dxa"/>
            <w:tcBorders>
              <w:top w:val="single" w:sz="4" w:space="0" w:color="auto"/>
              <w:bottom w:val="single" w:sz="8" w:space="0" w:color="808080"/>
            </w:tcBorders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Adverse events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8" w:space="0" w:color="808080"/>
            </w:tcBorders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It is assumed all AEs are applied as a one-off cost in the first cycle of the model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808080"/>
            </w:tcBorders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Low impact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8" w:space="0" w:color="808080"/>
            </w:tcBorders>
            <w:shd w:val="clear" w:color="auto" w:fill="auto"/>
            <w:hideMark/>
          </w:tcPr>
          <w:p w:rsidR="00040C4D" w:rsidRPr="00F3437F" w:rsidRDefault="00040C4D" w:rsidP="00B81A05">
            <w:pPr>
              <w:keepLines/>
              <w:widowControl w:val="0"/>
              <w:spacing w:before="40"/>
              <w:rPr>
                <w:rFonts w:ascii="Calibri" w:hAnsi="Calibri"/>
                <w:sz w:val="16"/>
                <w:szCs w:val="20"/>
                <w:lang w:val="en-US"/>
              </w:rPr>
            </w:pPr>
            <w:r w:rsidRPr="00F3437F">
              <w:rPr>
                <w:rFonts w:ascii="Calibri" w:hAnsi="Calibri"/>
                <w:sz w:val="16"/>
                <w:szCs w:val="20"/>
                <w:lang w:val="en-US"/>
              </w:rPr>
              <w:t xml:space="preserve">For AEs that do not occur within the first year, or which are ongoing, their application in the model in the first cycle may over-estimate costs and disutility due to discounting </w:t>
            </w:r>
          </w:p>
        </w:tc>
      </w:tr>
      <w:tr w:rsidR="00040C4D" w:rsidRPr="00F3437F" w:rsidTr="00B81A05">
        <w:trPr>
          <w:trHeight w:val="584"/>
        </w:trPr>
        <w:tc>
          <w:tcPr>
            <w:tcW w:w="1418" w:type="dxa"/>
            <w:tcBorders>
              <w:top w:val="single" w:sz="8" w:space="0" w:color="808080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Subsequent treatment</w:t>
            </w:r>
          </w:p>
        </w:tc>
        <w:tc>
          <w:tcPr>
            <w:tcW w:w="2410" w:type="dxa"/>
            <w:tcBorders>
              <w:top w:val="single" w:sz="8" w:space="0" w:color="808080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Subsequent treatment costs assume that all interventions compared are equally likely to be used as a subsequent euthymic treatment</w:t>
            </w:r>
          </w:p>
        </w:tc>
        <w:tc>
          <w:tcPr>
            <w:tcW w:w="1559" w:type="dxa"/>
            <w:tcBorders>
              <w:top w:val="single" w:sz="8" w:space="0" w:color="808080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40C4D" w:rsidRPr="00F3437F" w:rsidRDefault="00040C4D" w:rsidP="00B81A05">
            <w:pPr>
              <w:rPr>
                <w:rFonts w:ascii="Calibri" w:hAnsi="Calibri" w:cs="Arial"/>
                <w:sz w:val="16"/>
                <w:szCs w:val="16"/>
                <w:lang w:val="en-US"/>
              </w:rPr>
            </w:pPr>
            <w:r w:rsidRPr="00F3437F">
              <w:rPr>
                <w:rFonts w:ascii="Calibri" w:hAnsi="Calibri" w:cs="Arial"/>
                <w:kern w:val="24"/>
                <w:sz w:val="16"/>
                <w:szCs w:val="16"/>
                <w:lang w:val="en-US"/>
              </w:rPr>
              <w:t>Low impact</w:t>
            </w:r>
          </w:p>
        </w:tc>
        <w:tc>
          <w:tcPr>
            <w:tcW w:w="3544" w:type="dxa"/>
            <w:tcBorders>
              <w:top w:val="single" w:sz="8" w:space="0" w:color="808080"/>
              <w:bottom w:val="single" w:sz="4" w:space="0" w:color="auto"/>
            </w:tcBorders>
            <w:shd w:val="clear" w:color="auto" w:fill="auto"/>
            <w:hideMark/>
          </w:tcPr>
          <w:p w:rsidR="00040C4D" w:rsidRPr="00F3437F" w:rsidRDefault="00040C4D" w:rsidP="00B81A05">
            <w:pPr>
              <w:keepLines/>
              <w:widowControl w:val="0"/>
              <w:spacing w:before="40"/>
              <w:rPr>
                <w:rFonts w:ascii="Calibri" w:hAnsi="Calibri"/>
                <w:sz w:val="16"/>
                <w:szCs w:val="20"/>
                <w:lang w:val="en-US"/>
              </w:rPr>
            </w:pPr>
            <w:r w:rsidRPr="00F3437F">
              <w:rPr>
                <w:rFonts w:ascii="Calibri" w:hAnsi="Calibri"/>
                <w:sz w:val="16"/>
                <w:szCs w:val="20"/>
                <w:lang w:val="en-US"/>
              </w:rPr>
              <w:t>The approach taken was conservative by not favoring any treatment since there is insufficient evidence to prioritize one maintenance treatment over another</w:t>
            </w:r>
          </w:p>
        </w:tc>
      </w:tr>
    </w:tbl>
    <w:p w:rsidR="00040C4D" w:rsidRPr="00F3437F" w:rsidRDefault="00040C4D" w:rsidP="00040C4D">
      <w:pPr>
        <w:rPr>
          <w:rFonts w:ascii="Calibri" w:hAnsi="Calibri"/>
          <w:sz w:val="18"/>
          <w:szCs w:val="18"/>
          <w:lang w:val="en-US"/>
        </w:rPr>
      </w:pPr>
      <w:r w:rsidRPr="00F3437F">
        <w:rPr>
          <w:rFonts w:ascii="Calibri" w:hAnsi="Calibri"/>
          <w:sz w:val="18"/>
          <w:szCs w:val="18"/>
          <w:lang w:val="en-US"/>
        </w:rPr>
        <w:t xml:space="preserve">AE, adverse event; AOM 400, </w:t>
      </w:r>
      <w:r w:rsidRPr="00F3437F">
        <w:rPr>
          <w:rFonts w:ascii="Calibri" w:hAnsi="Calibri" w:cs="Arial"/>
          <w:bCs/>
          <w:sz w:val="18"/>
          <w:szCs w:val="18"/>
          <w:lang w:val="en-US"/>
        </w:rPr>
        <w:t>aripiprazole once-monthly 400 mg;</w:t>
      </w:r>
      <w:r w:rsidRPr="00F3437F">
        <w:rPr>
          <w:rFonts w:ascii="Calibri" w:hAnsi="Calibri"/>
          <w:sz w:val="18"/>
          <w:szCs w:val="18"/>
          <w:lang w:val="en-US"/>
        </w:rPr>
        <w:t xml:space="preserve"> BP-I,</w:t>
      </w:r>
      <w:r w:rsidRPr="00F3437F">
        <w:rPr>
          <w:lang w:val="en-US"/>
        </w:rPr>
        <w:t xml:space="preserve"> </w:t>
      </w:r>
      <w:r w:rsidRPr="00F3437F">
        <w:rPr>
          <w:rFonts w:ascii="Calibri" w:hAnsi="Calibri"/>
          <w:sz w:val="18"/>
          <w:szCs w:val="18"/>
          <w:lang w:val="en-US"/>
        </w:rPr>
        <w:t>bipolar I disorder; ICER, incremental cost-effectiveness ratio;</w:t>
      </w:r>
      <w:r>
        <w:rPr>
          <w:rFonts w:ascii="Calibri" w:hAnsi="Calibri"/>
          <w:sz w:val="18"/>
          <w:szCs w:val="18"/>
          <w:lang w:val="en-US"/>
        </w:rPr>
        <w:t xml:space="preserve"> </w:t>
      </w:r>
      <w:proofErr w:type="spellStart"/>
      <w:r w:rsidRPr="00F3437F">
        <w:rPr>
          <w:rFonts w:ascii="Calibri" w:hAnsi="Calibri"/>
          <w:sz w:val="18"/>
          <w:szCs w:val="18"/>
          <w:lang w:val="en-US"/>
        </w:rPr>
        <w:t>QoL</w:t>
      </w:r>
      <w:proofErr w:type="spellEnd"/>
      <w:r w:rsidRPr="00F3437F">
        <w:rPr>
          <w:rFonts w:ascii="Calibri" w:hAnsi="Calibri"/>
          <w:sz w:val="18"/>
          <w:szCs w:val="18"/>
          <w:lang w:val="en-US"/>
        </w:rPr>
        <w:t>, quality of life.</w:t>
      </w:r>
    </w:p>
    <w:p w:rsidR="00040C4D" w:rsidRPr="00F3437F" w:rsidRDefault="00040C4D" w:rsidP="00040C4D">
      <w:pPr>
        <w:rPr>
          <w:lang w:val="en-US"/>
        </w:rPr>
      </w:pPr>
    </w:p>
    <w:p w:rsidR="003E4DBC" w:rsidRDefault="003E4DBC"/>
    <w:sectPr w:rsidR="003E4DBC" w:rsidSect="006E7C9A">
      <w:footerReference w:type="default" r:id="rId7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20F" w:rsidRDefault="003E4DBC">
      <w:r>
        <w:separator/>
      </w:r>
    </w:p>
  </w:endnote>
  <w:endnote w:type="continuationSeparator" w:id="0">
    <w:p w:rsidR="003B320F" w:rsidRDefault="003E4D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617F" w:rsidRPr="00C77B39" w:rsidRDefault="00040C4D" w:rsidP="003A3CAE">
    <w:pPr>
      <w:pStyle w:val="Footer"/>
      <w:jc w:val="center"/>
      <w:rPr>
        <w:lang w:val="en-US"/>
      </w:rPr>
    </w:pPr>
    <w:r w:rsidRPr="00C77B39">
      <w:rPr>
        <w:i/>
        <w:iCs/>
        <w:lang w:val="en-US"/>
      </w:rPr>
      <w:t>.</w:t>
    </w:r>
    <w:r w:rsidRPr="00C77B39">
      <w:rPr>
        <w:i/>
        <w:iCs/>
        <w:lang w:val="en-US"/>
      </w:rPr>
      <w:tab/>
    </w:r>
    <w:r w:rsidRPr="00C77B39">
      <w:rPr>
        <w:rStyle w:val="PageNumber"/>
        <w:lang w:val="en-US"/>
      </w:rPr>
      <w:fldChar w:fldCharType="begin"/>
    </w:r>
    <w:r w:rsidRPr="00C77B39">
      <w:rPr>
        <w:rStyle w:val="PageNumber"/>
        <w:lang w:val="en-US"/>
      </w:rPr>
      <w:instrText xml:space="preserve"> PAGE </w:instrText>
    </w:r>
    <w:r w:rsidRPr="00C77B39">
      <w:rPr>
        <w:rStyle w:val="PageNumber"/>
        <w:lang w:val="en-US"/>
      </w:rPr>
      <w:fldChar w:fldCharType="separate"/>
    </w:r>
    <w:r w:rsidR="00980783">
      <w:rPr>
        <w:rStyle w:val="PageNumber"/>
        <w:noProof/>
        <w:lang w:val="en-US"/>
      </w:rPr>
      <w:t>6</w:t>
    </w:r>
    <w:r w:rsidRPr="00C77B39">
      <w:rPr>
        <w:rStyle w:val="PageNumber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20F" w:rsidRDefault="003E4DBC">
      <w:r>
        <w:separator/>
      </w:r>
    </w:p>
  </w:footnote>
  <w:footnote w:type="continuationSeparator" w:id="0">
    <w:p w:rsidR="003B320F" w:rsidRDefault="003E4D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5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C4D"/>
    <w:rsid w:val="000004A8"/>
    <w:rsid w:val="00003442"/>
    <w:rsid w:val="00004988"/>
    <w:rsid w:val="00005A60"/>
    <w:rsid w:val="00005B41"/>
    <w:rsid w:val="00006887"/>
    <w:rsid w:val="00007806"/>
    <w:rsid w:val="00007C95"/>
    <w:rsid w:val="0001040E"/>
    <w:rsid w:val="00010C60"/>
    <w:rsid w:val="000158A5"/>
    <w:rsid w:val="00015D6F"/>
    <w:rsid w:val="00016397"/>
    <w:rsid w:val="0001688E"/>
    <w:rsid w:val="00017375"/>
    <w:rsid w:val="00017F12"/>
    <w:rsid w:val="00021BD6"/>
    <w:rsid w:val="0002247A"/>
    <w:rsid w:val="000224EC"/>
    <w:rsid w:val="000236BE"/>
    <w:rsid w:val="00024204"/>
    <w:rsid w:val="000252BF"/>
    <w:rsid w:val="00026B00"/>
    <w:rsid w:val="0003014E"/>
    <w:rsid w:val="00030C18"/>
    <w:rsid w:val="000322CE"/>
    <w:rsid w:val="0003255A"/>
    <w:rsid w:val="00033A93"/>
    <w:rsid w:val="00035BC2"/>
    <w:rsid w:val="00036507"/>
    <w:rsid w:val="00036822"/>
    <w:rsid w:val="0004037A"/>
    <w:rsid w:val="00040630"/>
    <w:rsid w:val="00040C4D"/>
    <w:rsid w:val="000413EB"/>
    <w:rsid w:val="00041F50"/>
    <w:rsid w:val="0004214D"/>
    <w:rsid w:val="00042DF1"/>
    <w:rsid w:val="00044A5E"/>
    <w:rsid w:val="00050C6F"/>
    <w:rsid w:val="000522DF"/>
    <w:rsid w:val="00053163"/>
    <w:rsid w:val="00054B16"/>
    <w:rsid w:val="000563A4"/>
    <w:rsid w:val="00056C57"/>
    <w:rsid w:val="0005737F"/>
    <w:rsid w:val="00061193"/>
    <w:rsid w:val="00062978"/>
    <w:rsid w:val="00062EDE"/>
    <w:rsid w:val="00063B8B"/>
    <w:rsid w:val="00063DF2"/>
    <w:rsid w:val="00064AB2"/>
    <w:rsid w:val="000657B4"/>
    <w:rsid w:val="00065862"/>
    <w:rsid w:val="00065985"/>
    <w:rsid w:val="0006757C"/>
    <w:rsid w:val="00070014"/>
    <w:rsid w:val="00071E3A"/>
    <w:rsid w:val="0007214A"/>
    <w:rsid w:val="000722E4"/>
    <w:rsid w:val="00072912"/>
    <w:rsid w:val="00072EC8"/>
    <w:rsid w:val="0007515D"/>
    <w:rsid w:val="00075997"/>
    <w:rsid w:val="00077767"/>
    <w:rsid w:val="00077DF0"/>
    <w:rsid w:val="0008175A"/>
    <w:rsid w:val="00082DFF"/>
    <w:rsid w:val="00082F9E"/>
    <w:rsid w:val="000837DB"/>
    <w:rsid w:val="00086B38"/>
    <w:rsid w:val="000872D5"/>
    <w:rsid w:val="0009146B"/>
    <w:rsid w:val="00091959"/>
    <w:rsid w:val="00093462"/>
    <w:rsid w:val="00093657"/>
    <w:rsid w:val="00093A3A"/>
    <w:rsid w:val="00094B56"/>
    <w:rsid w:val="00096288"/>
    <w:rsid w:val="00097D3C"/>
    <w:rsid w:val="000A1DFC"/>
    <w:rsid w:val="000A384E"/>
    <w:rsid w:val="000A627E"/>
    <w:rsid w:val="000A679D"/>
    <w:rsid w:val="000A69F5"/>
    <w:rsid w:val="000A771D"/>
    <w:rsid w:val="000B0B1B"/>
    <w:rsid w:val="000B0C3B"/>
    <w:rsid w:val="000B1110"/>
    <w:rsid w:val="000B47ED"/>
    <w:rsid w:val="000B47EE"/>
    <w:rsid w:val="000B4C7A"/>
    <w:rsid w:val="000B5791"/>
    <w:rsid w:val="000B5B24"/>
    <w:rsid w:val="000C1A73"/>
    <w:rsid w:val="000C24A0"/>
    <w:rsid w:val="000C4A2F"/>
    <w:rsid w:val="000C6B52"/>
    <w:rsid w:val="000C6B64"/>
    <w:rsid w:val="000C7B18"/>
    <w:rsid w:val="000D0215"/>
    <w:rsid w:val="000D2203"/>
    <w:rsid w:val="000D291D"/>
    <w:rsid w:val="000D2CC6"/>
    <w:rsid w:val="000D4367"/>
    <w:rsid w:val="000D5898"/>
    <w:rsid w:val="000D5BA5"/>
    <w:rsid w:val="000D68D1"/>
    <w:rsid w:val="000D6E32"/>
    <w:rsid w:val="000D7E86"/>
    <w:rsid w:val="000E005F"/>
    <w:rsid w:val="000E012C"/>
    <w:rsid w:val="000E0826"/>
    <w:rsid w:val="000E0F7F"/>
    <w:rsid w:val="000E17B6"/>
    <w:rsid w:val="000E2257"/>
    <w:rsid w:val="000E35C1"/>
    <w:rsid w:val="000E3A12"/>
    <w:rsid w:val="000E4B1C"/>
    <w:rsid w:val="000E4E77"/>
    <w:rsid w:val="000E5AD6"/>
    <w:rsid w:val="000E7ED6"/>
    <w:rsid w:val="000F004A"/>
    <w:rsid w:val="000F06D5"/>
    <w:rsid w:val="000F69AC"/>
    <w:rsid w:val="00100D98"/>
    <w:rsid w:val="0010151F"/>
    <w:rsid w:val="00103E28"/>
    <w:rsid w:val="00104CEA"/>
    <w:rsid w:val="001051FA"/>
    <w:rsid w:val="00105650"/>
    <w:rsid w:val="0010649E"/>
    <w:rsid w:val="001072BE"/>
    <w:rsid w:val="00107704"/>
    <w:rsid w:val="001077CC"/>
    <w:rsid w:val="00107E56"/>
    <w:rsid w:val="001101AF"/>
    <w:rsid w:val="001109FA"/>
    <w:rsid w:val="00110A85"/>
    <w:rsid w:val="00110B9A"/>
    <w:rsid w:val="00110CC0"/>
    <w:rsid w:val="001118DF"/>
    <w:rsid w:val="00112004"/>
    <w:rsid w:val="00113FD8"/>
    <w:rsid w:val="00114AED"/>
    <w:rsid w:val="00114DAC"/>
    <w:rsid w:val="00116210"/>
    <w:rsid w:val="00116250"/>
    <w:rsid w:val="00116A30"/>
    <w:rsid w:val="00116AA2"/>
    <w:rsid w:val="00117F87"/>
    <w:rsid w:val="00123668"/>
    <w:rsid w:val="001241B8"/>
    <w:rsid w:val="001252A2"/>
    <w:rsid w:val="00126D55"/>
    <w:rsid w:val="00130DCF"/>
    <w:rsid w:val="001312BD"/>
    <w:rsid w:val="00131405"/>
    <w:rsid w:val="00132114"/>
    <w:rsid w:val="0013313E"/>
    <w:rsid w:val="001336ED"/>
    <w:rsid w:val="001339BD"/>
    <w:rsid w:val="001346C1"/>
    <w:rsid w:val="00135474"/>
    <w:rsid w:val="00137DA0"/>
    <w:rsid w:val="00137F75"/>
    <w:rsid w:val="00140236"/>
    <w:rsid w:val="00140262"/>
    <w:rsid w:val="001422AC"/>
    <w:rsid w:val="00142F30"/>
    <w:rsid w:val="001434E5"/>
    <w:rsid w:val="00143DCC"/>
    <w:rsid w:val="00143FC0"/>
    <w:rsid w:val="001456AB"/>
    <w:rsid w:val="00145C69"/>
    <w:rsid w:val="00146B75"/>
    <w:rsid w:val="00153840"/>
    <w:rsid w:val="00153CAE"/>
    <w:rsid w:val="0015416D"/>
    <w:rsid w:val="00154E3A"/>
    <w:rsid w:val="00154F47"/>
    <w:rsid w:val="0015599F"/>
    <w:rsid w:val="00155DC0"/>
    <w:rsid w:val="00160DEA"/>
    <w:rsid w:val="00160FB8"/>
    <w:rsid w:val="00161157"/>
    <w:rsid w:val="00161ADA"/>
    <w:rsid w:val="00162272"/>
    <w:rsid w:val="0016491C"/>
    <w:rsid w:val="00164E4F"/>
    <w:rsid w:val="00165FA4"/>
    <w:rsid w:val="0017035B"/>
    <w:rsid w:val="0017069A"/>
    <w:rsid w:val="00170D05"/>
    <w:rsid w:val="00172D6F"/>
    <w:rsid w:val="001738AE"/>
    <w:rsid w:val="00173BEA"/>
    <w:rsid w:val="0017662B"/>
    <w:rsid w:val="00176945"/>
    <w:rsid w:val="0018011C"/>
    <w:rsid w:val="00181522"/>
    <w:rsid w:val="00181B03"/>
    <w:rsid w:val="00183AE2"/>
    <w:rsid w:val="00183B13"/>
    <w:rsid w:val="00183F25"/>
    <w:rsid w:val="001848D9"/>
    <w:rsid w:val="00184F20"/>
    <w:rsid w:val="001850C0"/>
    <w:rsid w:val="001850E7"/>
    <w:rsid w:val="00185F1A"/>
    <w:rsid w:val="00187492"/>
    <w:rsid w:val="00192230"/>
    <w:rsid w:val="0019239A"/>
    <w:rsid w:val="001925D7"/>
    <w:rsid w:val="00193BC4"/>
    <w:rsid w:val="0019456F"/>
    <w:rsid w:val="0019525A"/>
    <w:rsid w:val="00195C58"/>
    <w:rsid w:val="00196681"/>
    <w:rsid w:val="00196D82"/>
    <w:rsid w:val="001977DA"/>
    <w:rsid w:val="00197E8E"/>
    <w:rsid w:val="001A1DDD"/>
    <w:rsid w:val="001A28CE"/>
    <w:rsid w:val="001A29C0"/>
    <w:rsid w:val="001A459B"/>
    <w:rsid w:val="001A4AF0"/>
    <w:rsid w:val="001A6395"/>
    <w:rsid w:val="001A769E"/>
    <w:rsid w:val="001B1010"/>
    <w:rsid w:val="001B1562"/>
    <w:rsid w:val="001B1827"/>
    <w:rsid w:val="001B1855"/>
    <w:rsid w:val="001B2252"/>
    <w:rsid w:val="001B262D"/>
    <w:rsid w:val="001B2B33"/>
    <w:rsid w:val="001B33A0"/>
    <w:rsid w:val="001B42EC"/>
    <w:rsid w:val="001B64FF"/>
    <w:rsid w:val="001B6F84"/>
    <w:rsid w:val="001C1C38"/>
    <w:rsid w:val="001C2F31"/>
    <w:rsid w:val="001C31F0"/>
    <w:rsid w:val="001C567E"/>
    <w:rsid w:val="001C5DBD"/>
    <w:rsid w:val="001C6157"/>
    <w:rsid w:val="001D02BF"/>
    <w:rsid w:val="001D0921"/>
    <w:rsid w:val="001D0D5B"/>
    <w:rsid w:val="001D183E"/>
    <w:rsid w:val="001D3B0B"/>
    <w:rsid w:val="001D3E96"/>
    <w:rsid w:val="001D46F5"/>
    <w:rsid w:val="001D4777"/>
    <w:rsid w:val="001D55D1"/>
    <w:rsid w:val="001D5BA2"/>
    <w:rsid w:val="001D62EA"/>
    <w:rsid w:val="001D637A"/>
    <w:rsid w:val="001D653D"/>
    <w:rsid w:val="001D6CEA"/>
    <w:rsid w:val="001D6D97"/>
    <w:rsid w:val="001D7941"/>
    <w:rsid w:val="001D7BE5"/>
    <w:rsid w:val="001E0B19"/>
    <w:rsid w:val="001E1A3F"/>
    <w:rsid w:val="001E2FBF"/>
    <w:rsid w:val="001E344F"/>
    <w:rsid w:val="001E405D"/>
    <w:rsid w:val="001E48D4"/>
    <w:rsid w:val="001E5B7A"/>
    <w:rsid w:val="001E6497"/>
    <w:rsid w:val="001E6899"/>
    <w:rsid w:val="001F0943"/>
    <w:rsid w:val="001F12E2"/>
    <w:rsid w:val="001F260F"/>
    <w:rsid w:val="001F2E6A"/>
    <w:rsid w:val="001F2F92"/>
    <w:rsid w:val="001F3645"/>
    <w:rsid w:val="001F3BB2"/>
    <w:rsid w:val="001F3CE6"/>
    <w:rsid w:val="001F4424"/>
    <w:rsid w:val="001F4C01"/>
    <w:rsid w:val="001F67A9"/>
    <w:rsid w:val="001F753B"/>
    <w:rsid w:val="001F77FA"/>
    <w:rsid w:val="00204128"/>
    <w:rsid w:val="002073B5"/>
    <w:rsid w:val="0021327B"/>
    <w:rsid w:val="00213B07"/>
    <w:rsid w:val="0021497B"/>
    <w:rsid w:val="002154BD"/>
    <w:rsid w:val="00215C44"/>
    <w:rsid w:val="00217400"/>
    <w:rsid w:val="0022087A"/>
    <w:rsid w:val="00221842"/>
    <w:rsid w:val="002226AE"/>
    <w:rsid w:val="0022307E"/>
    <w:rsid w:val="00223391"/>
    <w:rsid w:val="0022494E"/>
    <w:rsid w:val="00226310"/>
    <w:rsid w:val="00226656"/>
    <w:rsid w:val="0023049A"/>
    <w:rsid w:val="00230B64"/>
    <w:rsid w:val="00231468"/>
    <w:rsid w:val="00231B20"/>
    <w:rsid w:val="00231CF6"/>
    <w:rsid w:val="002327F4"/>
    <w:rsid w:val="00233743"/>
    <w:rsid w:val="00233B5E"/>
    <w:rsid w:val="00233F4C"/>
    <w:rsid w:val="00234292"/>
    <w:rsid w:val="00234ABB"/>
    <w:rsid w:val="00234B72"/>
    <w:rsid w:val="00236263"/>
    <w:rsid w:val="002372B1"/>
    <w:rsid w:val="00242394"/>
    <w:rsid w:val="002434AB"/>
    <w:rsid w:val="00245989"/>
    <w:rsid w:val="00246A5C"/>
    <w:rsid w:val="00247CB9"/>
    <w:rsid w:val="002502D1"/>
    <w:rsid w:val="002519E8"/>
    <w:rsid w:val="002530CA"/>
    <w:rsid w:val="002541D4"/>
    <w:rsid w:val="002549F7"/>
    <w:rsid w:val="002550D0"/>
    <w:rsid w:val="00255EB8"/>
    <w:rsid w:val="0025778B"/>
    <w:rsid w:val="00257EFC"/>
    <w:rsid w:val="00260AA3"/>
    <w:rsid w:val="00261308"/>
    <w:rsid w:val="002637D5"/>
    <w:rsid w:val="00263B66"/>
    <w:rsid w:val="00266006"/>
    <w:rsid w:val="00267C1F"/>
    <w:rsid w:val="00270729"/>
    <w:rsid w:val="00271386"/>
    <w:rsid w:val="002717DD"/>
    <w:rsid w:val="00272506"/>
    <w:rsid w:val="00272EA5"/>
    <w:rsid w:val="0027375A"/>
    <w:rsid w:val="00274714"/>
    <w:rsid w:val="00276356"/>
    <w:rsid w:val="0028016E"/>
    <w:rsid w:val="002803AD"/>
    <w:rsid w:val="0028170B"/>
    <w:rsid w:val="002817AD"/>
    <w:rsid w:val="002830D1"/>
    <w:rsid w:val="00283E47"/>
    <w:rsid w:val="00286E6E"/>
    <w:rsid w:val="0028793D"/>
    <w:rsid w:val="00291EEF"/>
    <w:rsid w:val="00293E9F"/>
    <w:rsid w:val="0029558E"/>
    <w:rsid w:val="002A00DA"/>
    <w:rsid w:val="002A085A"/>
    <w:rsid w:val="002A3EA2"/>
    <w:rsid w:val="002A51B2"/>
    <w:rsid w:val="002A57D5"/>
    <w:rsid w:val="002A5825"/>
    <w:rsid w:val="002A62E8"/>
    <w:rsid w:val="002A6394"/>
    <w:rsid w:val="002A647A"/>
    <w:rsid w:val="002A6515"/>
    <w:rsid w:val="002A6BFC"/>
    <w:rsid w:val="002A6CF1"/>
    <w:rsid w:val="002A6F01"/>
    <w:rsid w:val="002A7752"/>
    <w:rsid w:val="002B03B5"/>
    <w:rsid w:val="002B0ABE"/>
    <w:rsid w:val="002B1424"/>
    <w:rsid w:val="002B1EB4"/>
    <w:rsid w:val="002B2D40"/>
    <w:rsid w:val="002B3E63"/>
    <w:rsid w:val="002B49DF"/>
    <w:rsid w:val="002B4A49"/>
    <w:rsid w:val="002B57B2"/>
    <w:rsid w:val="002B5B2C"/>
    <w:rsid w:val="002B617B"/>
    <w:rsid w:val="002B689D"/>
    <w:rsid w:val="002B7F83"/>
    <w:rsid w:val="002C12FF"/>
    <w:rsid w:val="002C1D2A"/>
    <w:rsid w:val="002C3AAA"/>
    <w:rsid w:val="002C480C"/>
    <w:rsid w:val="002C6B57"/>
    <w:rsid w:val="002C7575"/>
    <w:rsid w:val="002D0877"/>
    <w:rsid w:val="002D08CA"/>
    <w:rsid w:val="002D0996"/>
    <w:rsid w:val="002D0B0A"/>
    <w:rsid w:val="002D2DC6"/>
    <w:rsid w:val="002D389E"/>
    <w:rsid w:val="002D5186"/>
    <w:rsid w:val="002D57E0"/>
    <w:rsid w:val="002D664A"/>
    <w:rsid w:val="002E1C2A"/>
    <w:rsid w:val="002E2E40"/>
    <w:rsid w:val="002E40F3"/>
    <w:rsid w:val="002E537E"/>
    <w:rsid w:val="002E54EB"/>
    <w:rsid w:val="002E61EE"/>
    <w:rsid w:val="002E6C6C"/>
    <w:rsid w:val="002E6FC7"/>
    <w:rsid w:val="002F06B1"/>
    <w:rsid w:val="002F1329"/>
    <w:rsid w:val="002F284A"/>
    <w:rsid w:val="002F32A1"/>
    <w:rsid w:val="002F408B"/>
    <w:rsid w:val="002F4AC0"/>
    <w:rsid w:val="002F6A49"/>
    <w:rsid w:val="002F7092"/>
    <w:rsid w:val="002F7C08"/>
    <w:rsid w:val="0030010D"/>
    <w:rsid w:val="00300113"/>
    <w:rsid w:val="0030013A"/>
    <w:rsid w:val="0030059E"/>
    <w:rsid w:val="00301518"/>
    <w:rsid w:val="00303A05"/>
    <w:rsid w:val="00304FA6"/>
    <w:rsid w:val="0030511C"/>
    <w:rsid w:val="003065EA"/>
    <w:rsid w:val="00306DEE"/>
    <w:rsid w:val="0031005B"/>
    <w:rsid w:val="00310061"/>
    <w:rsid w:val="003159DE"/>
    <w:rsid w:val="00315B30"/>
    <w:rsid w:val="003160DA"/>
    <w:rsid w:val="00316883"/>
    <w:rsid w:val="00321172"/>
    <w:rsid w:val="0032214A"/>
    <w:rsid w:val="00323C1D"/>
    <w:rsid w:val="003254B6"/>
    <w:rsid w:val="00325B41"/>
    <w:rsid w:val="00326BE9"/>
    <w:rsid w:val="0032749F"/>
    <w:rsid w:val="003305A0"/>
    <w:rsid w:val="003307F6"/>
    <w:rsid w:val="00330FE8"/>
    <w:rsid w:val="0033170B"/>
    <w:rsid w:val="00332044"/>
    <w:rsid w:val="00332A4D"/>
    <w:rsid w:val="003333C5"/>
    <w:rsid w:val="00333864"/>
    <w:rsid w:val="00333E0D"/>
    <w:rsid w:val="0033405B"/>
    <w:rsid w:val="00334758"/>
    <w:rsid w:val="00334AB2"/>
    <w:rsid w:val="0033555F"/>
    <w:rsid w:val="00335755"/>
    <w:rsid w:val="00335781"/>
    <w:rsid w:val="00335EFA"/>
    <w:rsid w:val="003371C0"/>
    <w:rsid w:val="003401C9"/>
    <w:rsid w:val="00340675"/>
    <w:rsid w:val="00341192"/>
    <w:rsid w:val="0034187D"/>
    <w:rsid w:val="00341AA0"/>
    <w:rsid w:val="003432F2"/>
    <w:rsid w:val="00343767"/>
    <w:rsid w:val="0034386D"/>
    <w:rsid w:val="00344454"/>
    <w:rsid w:val="003448CB"/>
    <w:rsid w:val="00346382"/>
    <w:rsid w:val="003467B7"/>
    <w:rsid w:val="00346ED0"/>
    <w:rsid w:val="003476AA"/>
    <w:rsid w:val="003503A3"/>
    <w:rsid w:val="0035049D"/>
    <w:rsid w:val="00352BFB"/>
    <w:rsid w:val="003542F2"/>
    <w:rsid w:val="00354B85"/>
    <w:rsid w:val="003554D0"/>
    <w:rsid w:val="00356309"/>
    <w:rsid w:val="00357290"/>
    <w:rsid w:val="003610CA"/>
    <w:rsid w:val="00362EB6"/>
    <w:rsid w:val="0036409E"/>
    <w:rsid w:val="003721B9"/>
    <w:rsid w:val="00372415"/>
    <w:rsid w:val="0037258E"/>
    <w:rsid w:val="00372917"/>
    <w:rsid w:val="00373E03"/>
    <w:rsid w:val="00377108"/>
    <w:rsid w:val="0038055A"/>
    <w:rsid w:val="00382617"/>
    <w:rsid w:val="003836D9"/>
    <w:rsid w:val="003856B0"/>
    <w:rsid w:val="00386F34"/>
    <w:rsid w:val="00387CAA"/>
    <w:rsid w:val="00392196"/>
    <w:rsid w:val="003925F0"/>
    <w:rsid w:val="0039268C"/>
    <w:rsid w:val="00393420"/>
    <w:rsid w:val="00393E11"/>
    <w:rsid w:val="00394ABF"/>
    <w:rsid w:val="00395061"/>
    <w:rsid w:val="00396127"/>
    <w:rsid w:val="003A2F4A"/>
    <w:rsid w:val="003A685C"/>
    <w:rsid w:val="003A7496"/>
    <w:rsid w:val="003B0F07"/>
    <w:rsid w:val="003B295A"/>
    <w:rsid w:val="003B3168"/>
    <w:rsid w:val="003B320F"/>
    <w:rsid w:val="003B3BC0"/>
    <w:rsid w:val="003B4179"/>
    <w:rsid w:val="003B5658"/>
    <w:rsid w:val="003B5C88"/>
    <w:rsid w:val="003B5FF1"/>
    <w:rsid w:val="003B739A"/>
    <w:rsid w:val="003C1E94"/>
    <w:rsid w:val="003C490D"/>
    <w:rsid w:val="003C6879"/>
    <w:rsid w:val="003C7A2F"/>
    <w:rsid w:val="003D025C"/>
    <w:rsid w:val="003D1814"/>
    <w:rsid w:val="003D29A2"/>
    <w:rsid w:val="003D3F11"/>
    <w:rsid w:val="003D526A"/>
    <w:rsid w:val="003D5EF9"/>
    <w:rsid w:val="003D7C61"/>
    <w:rsid w:val="003E0B67"/>
    <w:rsid w:val="003E0FA6"/>
    <w:rsid w:val="003E4DBC"/>
    <w:rsid w:val="003E5229"/>
    <w:rsid w:val="003E5C50"/>
    <w:rsid w:val="003E6265"/>
    <w:rsid w:val="003F0330"/>
    <w:rsid w:val="003F0C24"/>
    <w:rsid w:val="003F20F0"/>
    <w:rsid w:val="003F23C2"/>
    <w:rsid w:val="003F3597"/>
    <w:rsid w:val="003F3ABA"/>
    <w:rsid w:val="00402935"/>
    <w:rsid w:val="00405618"/>
    <w:rsid w:val="00405AEA"/>
    <w:rsid w:val="004066C7"/>
    <w:rsid w:val="00406E20"/>
    <w:rsid w:val="0040745B"/>
    <w:rsid w:val="00407837"/>
    <w:rsid w:val="00410833"/>
    <w:rsid w:val="00410DB4"/>
    <w:rsid w:val="004111C9"/>
    <w:rsid w:val="0041140B"/>
    <w:rsid w:val="00411DEB"/>
    <w:rsid w:val="004131CE"/>
    <w:rsid w:val="00413C74"/>
    <w:rsid w:val="00414F81"/>
    <w:rsid w:val="004215DA"/>
    <w:rsid w:val="00421C64"/>
    <w:rsid w:val="00421EAF"/>
    <w:rsid w:val="004228C1"/>
    <w:rsid w:val="00423199"/>
    <w:rsid w:val="00423701"/>
    <w:rsid w:val="00426C4A"/>
    <w:rsid w:val="0042790A"/>
    <w:rsid w:val="004303A7"/>
    <w:rsid w:val="0043082A"/>
    <w:rsid w:val="0043293C"/>
    <w:rsid w:val="00433EA4"/>
    <w:rsid w:val="004341A0"/>
    <w:rsid w:val="004351D0"/>
    <w:rsid w:val="00435C47"/>
    <w:rsid w:val="00436FFE"/>
    <w:rsid w:val="00440722"/>
    <w:rsid w:val="00440B2F"/>
    <w:rsid w:val="0044183A"/>
    <w:rsid w:val="00441A7D"/>
    <w:rsid w:val="00442B2B"/>
    <w:rsid w:val="00444209"/>
    <w:rsid w:val="0044595E"/>
    <w:rsid w:val="00445CE0"/>
    <w:rsid w:val="00447FAE"/>
    <w:rsid w:val="004501EA"/>
    <w:rsid w:val="00451513"/>
    <w:rsid w:val="00451798"/>
    <w:rsid w:val="00451F5D"/>
    <w:rsid w:val="00453CF7"/>
    <w:rsid w:val="00454998"/>
    <w:rsid w:val="00454B4A"/>
    <w:rsid w:val="00455063"/>
    <w:rsid w:val="00456A44"/>
    <w:rsid w:val="004606E9"/>
    <w:rsid w:val="0046165F"/>
    <w:rsid w:val="0046177A"/>
    <w:rsid w:val="0046291D"/>
    <w:rsid w:val="00463218"/>
    <w:rsid w:val="00463832"/>
    <w:rsid w:val="00465497"/>
    <w:rsid w:val="004656D4"/>
    <w:rsid w:val="004738E1"/>
    <w:rsid w:val="004738F0"/>
    <w:rsid w:val="00474315"/>
    <w:rsid w:val="00474341"/>
    <w:rsid w:val="00474BBA"/>
    <w:rsid w:val="0047615A"/>
    <w:rsid w:val="0047625F"/>
    <w:rsid w:val="0047707B"/>
    <w:rsid w:val="004770BD"/>
    <w:rsid w:val="00481C41"/>
    <w:rsid w:val="00481D9A"/>
    <w:rsid w:val="00483D6D"/>
    <w:rsid w:val="00483E78"/>
    <w:rsid w:val="00485B89"/>
    <w:rsid w:val="00486078"/>
    <w:rsid w:val="004872F7"/>
    <w:rsid w:val="00490F60"/>
    <w:rsid w:val="0049114F"/>
    <w:rsid w:val="00491902"/>
    <w:rsid w:val="00491ABE"/>
    <w:rsid w:val="00491F0C"/>
    <w:rsid w:val="004933C6"/>
    <w:rsid w:val="004959CA"/>
    <w:rsid w:val="00497C86"/>
    <w:rsid w:val="004A0E38"/>
    <w:rsid w:val="004A2C19"/>
    <w:rsid w:val="004A3424"/>
    <w:rsid w:val="004A5613"/>
    <w:rsid w:val="004A5CF5"/>
    <w:rsid w:val="004B0A00"/>
    <w:rsid w:val="004B1A44"/>
    <w:rsid w:val="004B1E37"/>
    <w:rsid w:val="004B1F23"/>
    <w:rsid w:val="004B319F"/>
    <w:rsid w:val="004B508A"/>
    <w:rsid w:val="004B53F8"/>
    <w:rsid w:val="004B6B65"/>
    <w:rsid w:val="004B75EA"/>
    <w:rsid w:val="004C04CB"/>
    <w:rsid w:val="004C057F"/>
    <w:rsid w:val="004C2A47"/>
    <w:rsid w:val="004C4082"/>
    <w:rsid w:val="004C5205"/>
    <w:rsid w:val="004C75E4"/>
    <w:rsid w:val="004D0B0E"/>
    <w:rsid w:val="004D1C4D"/>
    <w:rsid w:val="004D2E08"/>
    <w:rsid w:val="004D34D7"/>
    <w:rsid w:val="004D4223"/>
    <w:rsid w:val="004D48C9"/>
    <w:rsid w:val="004D5714"/>
    <w:rsid w:val="004D6FBB"/>
    <w:rsid w:val="004E0831"/>
    <w:rsid w:val="004E1E0B"/>
    <w:rsid w:val="004E26CC"/>
    <w:rsid w:val="004E3B8E"/>
    <w:rsid w:val="004E5454"/>
    <w:rsid w:val="004E57D8"/>
    <w:rsid w:val="004E5FA8"/>
    <w:rsid w:val="004E635F"/>
    <w:rsid w:val="004E72C1"/>
    <w:rsid w:val="004E7336"/>
    <w:rsid w:val="004E79AD"/>
    <w:rsid w:val="004F00D3"/>
    <w:rsid w:val="004F0B52"/>
    <w:rsid w:val="004F17C1"/>
    <w:rsid w:val="004F1A86"/>
    <w:rsid w:val="004F1DB4"/>
    <w:rsid w:val="004F39C7"/>
    <w:rsid w:val="004F4706"/>
    <w:rsid w:val="004F7068"/>
    <w:rsid w:val="004F7404"/>
    <w:rsid w:val="004F7E7D"/>
    <w:rsid w:val="005018FF"/>
    <w:rsid w:val="005026F8"/>
    <w:rsid w:val="00502ADF"/>
    <w:rsid w:val="00504524"/>
    <w:rsid w:val="00505199"/>
    <w:rsid w:val="00506B16"/>
    <w:rsid w:val="00506BB3"/>
    <w:rsid w:val="00507502"/>
    <w:rsid w:val="00507CE6"/>
    <w:rsid w:val="00510580"/>
    <w:rsid w:val="0051094D"/>
    <w:rsid w:val="00510A5C"/>
    <w:rsid w:val="00510AD3"/>
    <w:rsid w:val="0051136A"/>
    <w:rsid w:val="0051238E"/>
    <w:rsid w:val="00512CAD"/>
    <w:rsid w:val="005139DD"/>
    <w:rsid w:val="00516A5D"/>
    <w:rsid w:val="00516CD0"/>
    <w:rsid w:val="00522332"/>
    <w:rsid w:val="005225F6"/>
    <w:rsid w:val="005228E1"/>
    <w:rsid w:val="00522953"/>
    <w:rsid w:val="005232AA"/>
    <w:rsid w:val="00523750"/>
    <w:rsid w:val="00524E61"/>
    <w:rsid w:val="00525D85"/>
    <w:rsid w:val="00526444"/>
    <w:rsid w:val="00526DE6"/>
    <w:rsid w:val="005275B4"/>
    <w:rsid w:val="0053177C"/>
    <w:rsid w:val="00531966"/>
    <w:rsid w:val="00532129"/>
    <w:rsid w:val="00532B69"/>
    <w:rsid w:val="00534A6A"/>
    <w:rsid w:val="00534DFA"/>
    <w:rsid w:val="00535832"/>
    <w:rsid w:val="0053592D"/>
    <w:rsid w:val="00535E45"/>
    <w:rsid w:val="00536A93"/>
    <w:rsid w:val="00537434"/>
    <w:rsid w:val="00541050"/>
    <w:rsid w:val="0054362E"/>
    <w:rsid w:val="005440A0"/>
    <w:rsid w:val="0054453B"/>
    <w:rsid w:val="00544B74"/>
    <w:rsid w:val="00551D74"/>
    <w:rsid w:val="00552EC3"/>
    <w:rsid w:val="00552ED4"/>
    <w:rsid w:val="00553064"/>
    <w:rsid w:val="00553FCC"/>
    <w:rsid w:val="00555284"/>
    <w:rsid w:val="0055628B"/>
    <w:rsid w:val="00556571"/>
    <w:rsid w:val="00556EC3"/>
    <w:rsid w:val="005578DE"/>
    <w:rsid w:val="00557B1C"/>
    <w:rsid w:val="00561A29"/>
    <w:rsid w:val="00563829"/>
    <w:rsid w:val="00567692"/>
    <w:rsid w:val="00567753"/>
    <w:rsid w:val="0057020A"/>
    <w:rsid w:val="005705FA"/>
    <w:rsid w:val="005712BE"/>
    <w:rsid w:val="00572B13"/>
    <w:rsid w:val="00572BB7"/>
    <w:rsid w:val="00573A94"/>
    <w:rsid w:val="00574AF1"/>
    <w:rsid w:val="00575BC8"/>
    <w:rsid w:val="00577022"/>
    <w:rsid w:val="005774D4"/>
    <w:rsid w:val="00577CF4"/>
    <w:rsid w:val="005803A9"/>
    <w:rsid w:val="005821BF"/>
    <w:rsid w:val="0058353C"/>
    <w:rsid w:val="00584932"/>
    <w:rsid w:val="00585193"/>
    <w:rsid w:val="0058674B"/>
    <w:rsid w:val="0059380C"/>
    <w:rsid w:val="00593B69"/>
    <w:rsid w:val="00596B96"/>
    <w:rsid w:val="005977B8"/>
    <w:rsid w:val="00597E74"/>
    <w:rsid w:val="005A0553"/>
    <w:rsid w:val="005A14CF"/>
    <w:rsid w:val="005A1BA5"/>
    <w:rsid w:val="005A252C"/>
    <w:rsid w:val="005A2BB4"/>
    <w:rsid w:val="005A3FE6"/>
    <w:rsid w:val="005A5AE6"/>
    <w:rsid w:val="005A6402"/>
    <w:rsid w:val="005A6A79"/>
    <w:rsid w:val="005A6CFE"/>
    <w:rsid w:val="005A722D"/>
    <w:rsid w:val="005B10DA"/>
    <w:rsid w:val="005B1107"/>
    <w:rsid w:val="005B29BD"/>
    <w:rsid w:val="005B2D79"/>
    <w:rsid w:val="005B2F69"/>
    <w:rsid w:val="005B341A"/>
    <w:rsid w:val="005B4ED5"/>
    <w:rsid w:val="005B538E"/>
    <w:rsid w:val="005B6442"/>
    <w:rsid w:val="005B6B98"/>
    <w:rsid w:val="005B7416"/>
    <w:rsid w:val="005B775C"/>
    <w:rsid w:val="005C002B"/>
    <w:rsid w:val="005C05E4"/>
    <w:rsid w:val="005C0E9D"/>
    <w:rsid w:val="005C1461"/>
    <w:rsid w:val="005C2736"/>
    <w:rsid w:val="005C27D1"/>
    <w:rsid w:val="005C3775"/>
    <w:rsid w:val="005C3A2C"/>
    <w:rsid w:val="005C3B4B"/>
    <w:rsid w:val="005C40BC"/>
    <w:rsid w:val="005C4A8B"/>
    <w:rsid w:val="005C4E35"/>
    <w:rsid w:val="005C53BB"/>
    <w:rsid w:val="005C58AB"/>
    <w:rsid w:val="005C5E68"/>
    <w:rsid w:val="005C6191"/>
    <w:rsid w:val="005C633D"/>
    <w:rsid w:val="005C6791"/>
    <w:rsid w:val="005C6956"/>
    <w:rsid w:val="005C7056"/>
    <w:rsid w:val="005C7DBD"/>
    <w:rsid w:val="005C7EFE"/>
    <w:rsid w:val="005D0436"/>
    <w:rsid w:val="005D1E39"/>
    <w:rsid w:val="005D21F3"/>
    <w:rsid w:val="005D2989"/>
    <w:rsid w:val="005D299A"/>
    <w:rsid w:val="005D343F"/>
    <w:rsid w:val="005D42BC"/>
    <w:rsid w:val="005D5283"/>
    <w:rsid w:val="005D5C64"/>
    <w:rsid w:val="005D79A7"/>
    <w:rsid w:val="005E07C6"/>
    <w:rsid w:val="005E0F08"/>
    <w:rsid w:val="005E2507"/>
    <w:rsid w:val="005E2865"/>
    <w:rsid w:val="005E358C"/>
    <w:rsid w:val="005E6A41"/>
    <w:rsid w:val="005E79C0"/>
    <w:rsid w:val="005F0406"/>
    <w:rsid w:val="005F15F1"/>
    <w:rsid w:val="005F1B83"/>
    <w:rsid w:val="005F23EB"/>
    <w:rsid w:val="005F307C"/>
    <w:rsid w:val="005F4253"/>
    <w:rsid w:val="005F4407"/>
    <w:rsid w:val="005F690A"/>
    <w:rsid w:val="006003A3"/>
    <w:rsid w:val="0060055D"/>
    <w:rsid w:val="0060156D"/>
    <w:rsid w:val="00601D46"/>
    <w:rsid w:val="0060247B"/>
    <w:rsid w:val="006025F2"/>
    <w:rsid w:val="006032DE"/>
    <w:rsid w:val="00603A00"/>
    <w:rsid w:val="00603B31"/>
    <w:rsid w:val="00604E06"/>
    <w:rsid w:val="00605958"/>
    <w:rsid w:val="00606A07"/>
    <w:rsid w:val="00607959"/>
    <w:rsid w:val="00607FD1"/>
    <w:rsid w:val="00611756"/>
    <w:rsid w:val="006118B2"/>
    <w:rsid w:val="006136FB"/>
    <w:rsid w:val="00616372"/>
    <w:rsid w:val="00616441"/>
    <w:rsid w:val="006172E4"/>
    <w:rsid w:val="0062082B"/>
    <w:rsid w:val="006208BA"/>
    <w:rsid w:val="00621F34"/>
    <w:rsid w:val="006222A7"/>
    <w:rsid w:val="00623CD5"/>
    <w:rsid w:val="0062456D"/>
    <w:rsid w:val="00624C9C"/>
    <w:rsid w:val="00624E56"/>
    <w:rsid w:val="00624FA0"/>
    <w:rsid w:val="00625B22"/>
    <w:rsid w:val="00625F6C"/>
    <w:rsid w:val="0062698E"/>
    <w:rsid w:val="006272C3"/>
    <w:rsid w:val="00627ADA"/>
    <w:rsid w:val="006303B3"/>
    <w:rsid w:val="00630E05"/>
    <w:rsid w:val="00630E82"/>
    <w:rsid w:val="00632C35"/>
    <w:rsid w:val="00632F1E"/>
    <w:rsid w:val="00635075"/>
    <w:rsid w:val="006367B9"/>
    <w:rsid w:val="00636804"/>
    <w:rsid w:val="00636BDD"/>
    <w:rsid w:val="00640AB7"/>
    <w:rsid w:val="006410E5"/>
    <w:rsid w:val="0064195A"/>
    <w:rsid w:val="0064477A"/>
    <w:rsid w:val="00644AB9"/>
    <w:rsid w:val="0064534B"/>
    <w:rsid w:val="00646CA5"/>
    <w:rsid w:val="00647967"/>
    <w:rsid w:val="00647B7F"/>
    <w:rsid w:val="00647F3F"/>
    <w:rsid w:val="00656237"/>
    <w:rsid w:val="006567FF"/>
    <w:rsid w:val="006568B3"/>
    <w:rsid w:val="0065735D"/>
    <w:rsid w:val="006600E3"/>
    <w:rsid w:val="00660AA9"/>
    <w:rsid w:val="00661BAB"/>
    <w:rsid w:val="00663607"/>
    <w:rsid w:val="00664898"/>
    <w:rsid w:val="006649CA"/>
    <w:rsid w:val="00667A9A"/>
    <w:rsid w:val="00670362"/>
    <w:rsid w:val="00670DCF"/>
    <w:rsid w:val="00671796"/>
    <w:rsid w:val="006724E4"/>
    <w:rsid w:val="00673D12"/>
    <w:rsid w:val="00673DB6"/>
    <w:rsid w:val="00680B71"/>
    <w:rsid w:val="00680F75"/>
    <w:rsid w:val="00681FF2"/>
    <w:rsid w:val="00683634"/>
    <w:rsid w:val="0068398C"/>
    <w:rsid w:val="006850B4"/>
    <w:rsid w:val="0068619B"/>
    <w:rsid w:val="0068700B"/>
    <w:rsid w:val="0068787C"/>
    <w:rsid w:val="006878C2"/>
    <w:rsid w:val="00687A44"/>
    <w:rsid w:val="00687B1C"/>
    <w:rsid w:val="00691B3A"/>
    <w:rsid w:val="006936C6"/>
    <w:rsid w:val="00693FD1"/>
    <w:rsid w:val="00694BF8"/>
    <w:rsid w:val="0069607B"/>
    <w:rsid w:val="00696606"/>
    <w:rsid w:val="00697DD3"/>
    <w:rsid w:val="006A09F1"/>
    <w:rsid w:val="006A0B14"/>
    <w:rsid w:val="006A12D5"/>
    <w:rsid w:val="006A17BE"/>
    <w:rsid w:val="006A36BD"/>
    <w:rsid w:val="006A5E9C"/>
    <w:rsid w:val="006A6854"/>
    <w:rsid w:val="006A7F08"/>
    <w:rsid w:val="006B000C"/>
    <w:rsid w:val="006B55AB"/>
    <w:rsid w:val="006B6A6B"/>
    <w:rsid w:val="006C0000"/>
    <w:rsid w:val="006C02F4"/>
    <w:rsid w:val="006C0D1E"/>
    <w:rsid w:val="006C0FEA"/>
    <w:rsid w:val="006C1A13"/>
    <w:rsid w:val="006C26F5"/>
    <w:rsid w:val="006C2D38"/>
    <w:rsid w:val="006C30EF"/>
    <w:rsid w:val="006C3B11"/>
    <w:rsid w:val="006C4657"/>
    <w:rsid w:val="006C4D70"/>
    <w:rsid w:val="006C50B5"/>
    <w:rsid w:val="006C5E64"/>
    <w:rsid w:val="006C6586"/>
    <w:rsid w:val="006C6EF0"/>
    <w:rsid w:val="006C7382"/>
    <w:rsid w:val="006C7B6D"/>
    <w:rsid w:val="006D167B"/>
    <w:rsid w:val="006D1688"/>
    <w:rsid w:val="006D17EB"/>
    <w:rsid w:val="006D3F65"/>
    <w:rsid w:val="006D4510"/>
    <w:rsid w:val="006D5209"/>
    <w:rsid w:val="006D7212"/>
    <w:rsid w:val="006D79BE"/>
    <w:rsid w:val="006E0507"/>
    <w:rsid w:val="006E0DEF"/>
    <w:rsid w:val="006E20BF"/>
    <w:rsid w:val="006E4CC1"/>
    <w:rsid w:val="006E4E49"/>
    <w:rsid w:val="006E4EB2"/>
    <w:rsid w:val="006E4F70"/>
    <w:rsid w:val="006E5DAA"/>
    <w:rsid w:val="006E71F5"/>
    <w:rsid w:val="006E79D9"/>
    <w:rsid w:val="006E7CAF"/>
    <w:rsid w:val="006E7CFC"/>
    <w:rsid w:val="006F0AC1"/>
    <w:rsid w:val="006F4288"/>
    <w:rsid w:val="006F6239"/>
    <w:rsid w:val="006F638D"/>
    <w:rsid w:val="006F6712"/>
    <w:rsid w:val="006F67BA"/>
    <w:rsid w:val="006F697B"/>
    <w:rsid w:val="006F702F"/>
    <w:rsid w:val="006F7C49"/>
    <w:rsid w:val="00700404"/>
    <w:rsid w:val="007027F7"/>
    <w:rsid w:val="007033FB"/>
    <w:rsid w:val="00703DC4"/>
    <w:rsid w:val="00704137"/>
    <w:rsid w:val="00704791"/>
    <w:rsid w:val="00705D76"/>
    <w:rsid w:val="0070644F"/>
    <w:rsid w:val="00707795"/>
    <w:rsid w:val="00707C56"/>
    <w:rsid w:val="00707E5F"/>
    <w:rsid w:val="007108D3"/>
    <w:rsid w:val="007113E2"/>
    <w:rsid w:val="007125F1"/>
    <w:rsid w:val="007148DD"/>
    <w:rsid w:val="007164E6"/>
    <w:rsid w:val="007174A2"/>
    <w:rsid w:val="00717CFD"/>
    <w:rsid w:val="0072138E"/>
    <w:rsid w:val="00722726"/>
    <w:rsid w:val="007230EC"/>
    <w:rsid w:val="00723D19"/>
    <w:rsid w:val="00724235"/>
    <w:rsid w:val="007253EB"/>
    <w:rsid w:val="00725D85"/>
    <w:rsid w:val="00727716"/>
    <w:rsid w:val="00733961"/>
    <w:rsid w:val="00734641"/>
    <w:rsid w:val="0073465C"/>
    <w:rsid w:val="007346AD"/>
    <w:rsid w:val="00734EC6"/>
    <w:rsid w:val="007358B7"/>
    <w:rsid w:val="00736EC3"/>
    <w:rsid w:val="007406BC"/>
    <w:rsid w:val="007416D4"/>
    <w:rsid w:val="00741B08"/>
    <w:rsid w:val="00741F9D"/>
    <w:rsid w:val="0074239B"/>
    <w:rsid w:val="007423A3"/>
    <w:rsid w:val="007431AD"/>
    <w:rsid w:val="00743582"/>
    <w:rsid w:val="00746334"/>
    <w:rsid w:val="00747380"/>
    <w:rsid w:val="007508A3"/>
    <w:rsid w:val="00750CB6"/>
    <w:rsid w:val="00751FF0"/>
    <w:rsid w:val="0075368B"/>
    <w:rsid w:val="00755153"/>
    <w:rsid w:val="00757517"/>
    <w:rsid w:val="0076039B"/>
    <w:rsid w:val="00760669"/>
    <w:rsid w:val="0076079F"/>
    <w:rsid w:val="00760C51"/>
    <w:rsid w:val="00761F99"/>
    <w:rsid w:val="007621C4"/>
    <w:rsid w:val="007634DC"/>
    <w:rsid w:val="00764195"/>
    <w:rsid w:val="0076578F"/>
    <w:rsid w:val="00767199"/>
    <w:rsid w:val="00767E5C"/>
    <w:rsid w:val="007713A0"/>
    <w:rsid w:val="00771B0E"/>
    <w:rsid w:val="00772322"/>
    <w:rsid w:val="00773A8C"/>
    <w:rsid w:val="00775B3A"/>
    <w:rsid w:val="007762AB"/>
    <w:rsid w:val="00777090"/>
    <w:rsid w:val="00780798"/>
    <w:rsid w:val="00782B32"/>
    <w:rsid w:val="00782DB1"/>
    <w:rsid w:val="0078526B"/>
    <w:rsid w:val="00786A90"/>
    <w:rsid w:val="00787457"/>
    <w:rsid w:val="0079274D"/>
    <w:rsid w:val="00792979"/>
    <w:rsid w:val="00792AE6"/>
    <w:rsid w:val="00794777"/>
    <w:rsid w:val="00796595"/>
    <w:rsid w:val="007A17EE"/>
    <w:rsid w:val="007A1A7D"/>
    <w:rsid w:val="007A2C16"/>
    <w:rsid w:val="007A2D7D"/>
    <w:rsid w:val="007A35CB"/>
    <w:rsid w:val="007A4094"/>
    <w:rsid w:val="007A64A1"/>
    <w:rsid w:val="007A6660"/>
    <w:rsid w:val="007A6EE8"/>
    <w:rsid w:val="007A7797"/>
    <w:rsid w:val="007B091C"/>
    <w:rsid w:val="007B1A46"/>
    <w:rsid w:val="007B3AFF"/>
    <w:rsid w:val="007B4318"/>
    <w:rsid w:val="007B572A"/>
    <w:rsid w:val="007B7BD0"/>
    <w:rsid w:val="007B7F7B"/>
    <w:rsid w:val="007C1080"/>
    <w:rsid w:val="007C1762"/>
    <w:rsid w:val="007C24D1"/>
    <w:rsid w:val="007C2B88"/>
    <w:rsid w:val="007C36D8"/>
    <w:rsid w:val="007C4427"/>
    <w:rsid w:val="007C4DA1"/>
    <w:rsid w:val="007C5DF0"/>
    <w:rsid w:val="007C6434"/>
    <w:rsid w:val="007D05D4"/>
    <w:rsid w:val="007D0C1A"/>
    <w:rsid w:val="007D57C7"/>
    <w:rsid w:val="007D6160"/>
    <w:rsid w:val="007D7572"/>
    <w:rsid w:val="007D7760"/>
    <w:rsid w:val="007E2AA8"/>
    <w:rsid w:val="007E3CF5"/>
    <w:rsid w:val="007E3F75"/>
    <w:rsid w:val="007E5204"/>
    <w:rsid w:val="007E602A"/>
    <w:rsid w:val="007E60E6"/>
    <w:rsid w:val="007E6C17"/>
    <w:rsid w:val="007F07B8"/>
    <w:rsid w:val="007F1A0D"/>
    <w:rsid w:val="007F1D8E"/>
    <w:rsid w:val="007F333E"/>
    <w:rsid w:val="007F3B31"/>
    <w:rsid w:val="007F3C4B"/>
    <w:rsid w:val="007F48E3"/>
    <w:rsid w:val="007F7A82"/>
    <w:rsid w:val="00800C54"/>
    <w:rsid w:val="00801189"/>
    <w:rsid w:val="00801769"/>
    <w:rsid w:val="00801BEC"/>
    <w:rsid w:val="00802125"/>
    <w:rsid w:val="008029BD"/>
    <w:rsid w:val="00802DFF"/>
    <w:rsid w:val="008039FF"/>
    <w:rsid w:val="00804108"/>
    <w:rsid w:val="00807D49"/>
    <w:rsid w:val="00807DFF"/>
    <w:rsid w:val="00810492"/>
    <w:rsid w:val="008125A6"/>
    <w:rsid w:val="00812B9F"/>
    <w:rsid w:val="00812F48"/>
    <w:rsid w:val="00816F4F"/>
    <w:rsid w:val="00820A75"/>
    <w:rsid w:val="008218EA"/>
    <w:rsid w:val="00823642"/>
    <w:rsid w:val="00825D79"/>
    <w:rsid w:val="0082617F"/>
    <w:rsid w:val="0082667A"/>
    <w:rsid w:val="0082693A"/>
    <w:rsid w:val="008269C1"/>
    <w:rsid w:val="00827B15"/>
    <w:rsid w:val="00830990"/>
    <w:rsid w:val="008319FE"/>
    <w:rsid w:val="00831F08"/>
    <w:rsid w:val="00832083"/>
    <w:rsid w:val="0083400F"/>
    <w:rsid w:val="008343B9"/>
    <w:rsid w:val="0083454B"/>
    <w:rsid w:val="00836043"/>
    <w:rsid w:val="00836490"/>
    <w:rsid w:val="00836E83"/>
    <w:rsid w:val="00840099"/>
    <w:rsid w:val="008404DB"/>
    <w:rsid w:val="008449C5"/>
    <w:rsid w:val="00845870"/>
    <w:rsid w:val="008463A0"/>
    <w:rsid w:val="00846627"/>
    <w:rsid w:val="00846B50"/>
    <w:rsid w:val="00846EF3"/>
    <w:rsid w:val="008472D3"/>
    <w:rsid w:val="00847C8F"/>
    <w:rsid w:val="0085275B"/>
    <w:rsid w:val="00852BA7"/>
    <w:rsid w:val="00852BF5"/>
    <w:rsid w:val="00853A35"/>
    <w:rsid w:val="00853C27"/>
    <w:rsid w:val="00853E52"/>
    <w:rsid w:val="00854B83"/>
    <w:rsid w:val="00855885"/>
    <w:rsid w:val="008559FB"/>
    <w:rsid w:val="00860495"/>
    <w:rsid w:val="00860725"/>
    <w:rsid w:val="00860E35"/>
    <w:rsid w:val="00861F50"/>
    <w:rsid w:val="00862722"/>
    <w:rsid w:val="00862786"/>
    <w:rsid w:val="00863F4B"/>
    <w:rsid w:val="00864066"/>
    <w:rsid w:val="008644AF"/>
    <w:rsid w:val="00864AA2"/>
    <w:rsid w:val="008664F8"/>
    <w:rsid w:val="00866A96"/>
    <w:rsid w:val="008677B8"/>
    <w:rsid w:val="00867909"/>
    <w:rsid w:val="00867F9E"/>
    <w:rsid w:val="00870953"/>
    <w:rsid w:val="00871B41"/>
    <w:rsid w:val="008720EC"/>
    <w:rsid w:val="0087604D"/>
    <w:rsid w:val="00876954"/>
    <w:rsid w:val="008774A0"/>
    <w:rsid w:val="008777F4"/>
    <w:rsid w:val="00880322"/>
    <w:rsid w:val="008805EA"/>
    <w:rsid w:val="00880EA6"/>
    <w:rsid w:val="00883B22"/>
    <w:rsid w:val="00883C83"/>
    <w:rsid w:val="0088403A"/>
    <w:rsid w:val="008848CE"/>
    <w:rsid w:val="00884D6C"/>
    <w:rsid w:val="0088700F"/>
    <w:rsid w:val="00887293"/>
    <w:rsid w:val="008907CE"/>
    <w:rsid w:val="00890B9A"/>
    <w:rsid w:val="0089194D"/>
    <w:rsid w:val="00891F80"/>
    <w:rsid w:val="00892BB6"/>
    <w:rsid w:val="0089438B"/>
    <w:rsid w:val="0089455C"/>
    <w:rsid w:val="00895969"/>
    <w:rsid w:val="00896340"/>
    <w:rsid w:val="008974CF"/>
    <w:rsid w:val="008A0B47"/>
    <w:rsid w:val="008A340C"/>
    <w:rsid w:val="008A3715"/>
    <w:rsid w:val="008A4215"/>
    <w:rsid w:val="008A4C63"/>
    <w:rsid w:val="008A4FEB"/>
    <w:rsid w:val="008A5158"/>
    <w:rsid w:val="008A5681"/>
    <w:rsid w:val="008A6600"/>
    <w:rsid w:val="008A6F3C"/>
    <w:rsid w:val="008B0495"/>
    <w:rsid w:val="008B065F"/>
    <w:rsid w:val="008B0D10"/>
    <w:rsid w:val="008B0F52"/>
    <w:rsid w:val="008B1033"/>
    <w:rsid w:val="008B2897"/>
    <w:rsid w:val="008B2FC1"/>
    <w:rsid w:val="008B60AF"/>
    <w:rsid w:val="008B697F"/>
    <w:rsid w:val="008B6E64"/>
    <w:rsid w:val="008C227A"/>
    <w:rsid w:val="008C4D76"/>
    <w:rsid w:val="008C5C0D"/>
    <w:rsid w:val="008D02B8"/>
    <w:rsid w:val="008D1277"/>
    <w:rsid w:val="008D14C9"/>
    <w:rsid w:val="008D185D"/>
    <w:rsid w:val="008D276B"/>
    <w:rsid w:val="008D3335"/>
    <w:rsid w:val="008D3509"/>
    <w:rsid w:val="008D490A"/>
    <w:rsid w:val="008D6399"/>
    <w:rsid w:val="008D6C4D"/>
    <w:rsid w:val="008D7AA1"/>
    <w:rsid w:val="008D7AF6"/>
    <w:rsid w:val="008E01D1"/>
    <w:rsid w:val="008E1442"/>
    <w:rsid w:val="008E1B7E"/>
    <w:rsid w:val="008E2C85"/>
    <w:rsid w:val="008E3C7D"/>
    <w:rsid w:val="008E3CB1"/>
    <w:rsid w:val="008E68EA"/>
    <w:rsid w:val="008E74B9"/>
    <w:rsid w:val="008F1E8E"/>
    <w:rsid w:val="008F1FDB"/>
    <w:rsid w:val="008F2CEE"/>
    <w:rsid w:val="008F3243"/>
    <w:rsid w:val="008F3C7E"/>
    <w:rsid w:val="008F5378"/>
    <w:rsid w:val="008F54BE"/>
    <w:rsid w:val="008F59F4"/>
    <w:rsid w:val="008F6194"/>
    <w:rsid w:val="008F6607"/>
    <w:rsid w:val="008F68A9"/>
    <w:rsid w:val="008F73BE"/>
    <w:rsid w:val="008F743A"/>
    <w:rsid w:val="008F7583"/>
    <w:rsid w:val="00900BD8"/>
    <w:rsid w:val="00901869"/>
    <w:rsid w:val="00902314"/>
    <w:rsid w:val="009025EA"/>
    <w:rsid w:val="00904026"/>
    <w:rsid w:val="009043F2"/>
    <w:rsid w:val="00904E21"/>
    <w:rsid w:val="009058D3"/>
    <w:rsid w:val="0090648D"/>
    <w:rsid w:val="00906741"/>
    <w:rsid w:val="009078B4"/>
    <w:rsid w:val="00907B56"/>
    <w:rsid w:val="009101E5"/>
    <w:rsid w:val="00911A78"/>
    <w:rsid w:val="0091575E"/>
    <w:rsid w:val="00916FB9"/>
    <w:rsid w:val="009177DD"/>
    <w:rsid w:val="00917AE5"/>
    <w:rsid w:val="00917D1C"/>
    <w:rsid w:val="00921B1A"/>
    <w:rsid w:val="00922208"/>
    <w:rsid w:val="0092288E"/>
    <w:rsid w:val="00924F17"/>
    <w:rsid w:val="009251E1"/>
    <w:rsid w:val="00927C72"/>
    <w:rsid w:val="00931C94"/>
    <w:rsid w:val="0093204C"/>
    <w:rsid w:val="0093384E"/>
    <w:rsid w:val="00934184"/>
    <w:rsid w:val="00934979"/>
    <w:rsid w:val="00934BAB"/>
    <w:rsid w:val="00934C9B"/>
    <w:rsid w:val="00935863"/>
    <w:rsid w:val="00935BE6"/>
    <w:rsid w:val="009365CD"/>
    <w:rsid w:val="009379AA"/>
    <w:rsid w:val="009410E1"/>
    <w:rsid w:val="00941B4D"/>
    <w:rsid w:val="00941CAB"/>
    <w:rsid w:val="0094340F"/>
    <w:rsid w:val="009435C1"/>
    <w:rsid w:val="00943EA0"/>
    <w:rsid w:val="0094484A"/>
    <w:rsid w:val="00944867"/>
    <w:rsid w:val="00944FB4"/>
    <w:rsid w:val="00945DB7"/>
    <w:rsid w:val="00947C81"/>
    <w:rsid w:val="00951C28"/>
    <w:rsid w:val="00951D29"/>
    <w:rsid w:val="009523B2"/>
    <w:rsid w:val="00953966"/>
    <w:rsid w:val="009542E1"/>
    <w:rsid w:val="00954E71"/>
    <w:rsid w:val="00956EF4"/>
    <w:rsid w:val="00957114"/>
    <w:rsid w:val="009604E4"/>
    <w:rsid w:val="009621E9"/>
    <w:rsid w:val="00962C26"/>
    <w:rsid w:val="009633C8"/>
    <w:rsid w:val="009648E8"/>
    <w:rsid w:val="009669D6"/>
    <w:rsid w:val="00970F14"/>
    <w:rsid w:val="00971C35"/>
    <w:rsid w:val="0097432A"/>
    <w:rsid w:val="00977108"/>
    <w:rsid w:val="0097752E"/>
    <w:rsid w:val="00980783"/>
    <w:rsid w:val="00982190"/>
    <w:rsid w:val="0098256E"/>
    <w:rsid w:val="00982C47"/>
    <w:rsid w:val="00984552"/>
    <w:rsid w:val="00985E9A"/>
    <w:rsid w:val="009863A4"/>
    <w:rsid w:val="0099127D"/>
    <w:rsid w:val="00991D5D"/>
    <w:rsid w:val="00994CC5"/>
    <w:rsid w:val="00997500"/>
    <w:rsid w:val="009A0F0C"/>
    <w:rsid w:val="009A16CA"/>
    <w:rsid w:val="009A2F33"/>
    <w:rsid w:val="009A44C4"/>
    <w:rsid w:val="009A5347"/>
    <w:rsid w:val="009A7450"/>
    <w:rsid w:val="009B0FCB"/>
    <w:rsid w:val="009B1A5B"/>
    <w:rsid w:val="009B26C6"/>
    <w:rsid w:val="009B3AD9"/>
    <w:rsid w:val="009B509B"/>
    <w:rsid w:val="009B61B9"/>
    <w:rsid w:val="009B7E97"/>
    <w:rsid w:val="009C0339"/>
    <w:rsid w:val="009C0A79"/>
    <w:rsid w:val="009C252F"/>
    <w:rsid w:val="009C2BEF"/>
    <w:rsid w:val="009C33E1"/>
    <w:rsid w:val="009C4662"/>
    <w:rsid w:val="009C5787"/>
    <w:rsid w:val="009C69A9"/>
    <w:rsid w:val="009C7437"/>
    <w:rsid w:val="009D1131"/>
    <w:rsid w:val="009D17EA"/>
    <w:rsid w:val="009D23A7"/>
    <w:rsid w:val="009D24B4"/>
    <w:rsid w:val="009D32A2"/>
    <w:rsid w:val="009D3F03"/>
    <w:rsid w:val="009D4CEC"/>
    <w:rsid w:val="009D4CF3"/>
    <w:rsid w:val="009D5E07"/>
    <w:rsid w:val="009D6095"/>
    <w:rsid w:val="009E045D"/>
    <w:rsid w:val="009E1911"/>
    <w:rsid w:val="009E2905"/>
    <w:rsid w:val="009E2A33"/>
    <w:rsid w:val="009E2A54"/>
    <w:rsid w:val="009E46C0"/>
    <w:rsid w:val="009E67F0"/>
    <w:rsid w:val="009E6AF7"/>
    <w:rsid w:val="009E6BF2"/>
    <w:rsid w:val="009F07C1"/>
    <w:rsid w:val="009F07E1"/>
    <w:rsid w:val="009F09EF"/>
    <w:rsid w:val="009F135C"/>
    <w:rsid w:val="009F16A4"/>
    <w:rsid w:val="009F1BED"/>
    <w:rsid w:val="009F2FC4"/>
    <w:rsid w:val="009F307E"/>
    <w:rsid w:val="009F5459"/>
    <w:rsid w:val="009F5FE1"/>
    <w:rsid w:val="009F62B1"/>
    <w:rsid w:val="00A0181D"/>
    <w:rsid w:val="00A01B7C"/>
    <w:rsid w:val="00A01C69"/>
    <w:rsid w:val="00A0256C"/>
    <w:rsid w:val="00A04184"/>
    <w:rsid w:val="00A05F48"/>
    <w:rsid w:val="00A05FBF"/>
    <w:rsid w:val="00A05FC7"/>
    <w:rsid w:val="00A065B1"/>
    <w:rsid w:val="00A06E60"/>
    <w:rsid w:val="00A11564"/>
    <w:rsid w:val="00A11590"/>
    <w:rsid w:val="00A127CE"/>
    <w:rsid w:val="00A13BF6"/>
    <w:rsid w:val="00A140AA"/>
    <w:rsid w:val="00A15DB5"/>
    <w:rsid w:val="00A16116"/>
    <w:rsid w:val="00A1626F"/>
    <w:rsid w:val="00A16657"/>
    <w:rsid w:val="00A16B9F"/>
    <w:rsid w:val="00A16D5C"/>
    <w:rsid w:val="00A21BE9"/>
    <w:rsid w:val="00A23AA1"/>
    <w:rsid w:val="00A246B9"/>
    <w:rsid w:val="00A247F8"/>
    <w:rsid w:val="00A25126"/>
    <w:rsid w:val="00A322E4"/>
    <w:rsid w:val="00A32C61"/>
    <w:rsid w:val="00A33D85"/>
    <w:rsid w:val="00A35465"/>
    <w:rsid w:val="00A3698F"/>
    <w:rsid w:val="00A36EAE"/>
    <w:rsid w:val="00A4016C"/>
    <w:rsid w:val="00A422D4"/>
    <w:rsid w:val="00A424E8"/>
    <w:rsid w:val="00A43A57"/>
    <w:rsid w:val="00A43EE4"/>
    <w:rsid w:val="00A476DE"/>
    <w:rsid w:val="00A51173"/>
    <w:rsid w:val="00A51CB7"/>
    <w:rsid w:val="00A52580"/>
    <w:rsid w:val="00A526CE"/>
    <w:rsid w:val="00A5301E"/>
    <w:rsid w:val="00A532DD"/>
    <w:rsid w:val="00A534E3"/>
    <w:rsid w:val="00A54420"/>
    <w:rsid w:val="00A57B7B"/>
    <w:rsid w:val="00A57B93"/>
    <w:rsid w:val="00A60955"/>
    <w:rsid w:val="00A60C5A"/>
    <w:rsid w:val="00A60D36"/>
    <w:rsid w:val="00A624D2"/>
    <w:rsid w:val="00A6266A"/>
    <w:rsid w:val="00A62E8B"/>
    <w:rsid w:val="00A64442"/>
    <w:rsid w:val="00A64CDF"/>
    <w:rsid w:val="00A658E1"/>
    <w:rsid w:val="00A663C6"/>
    <w:rsid w:val="00A663E7"/>
    <w:rsid w:val="00A67A34"/>
    <w:rsid w:val="00A67AFB"/>
    <w:rsid w:val="00A7127E"/>
    <w:rsid w:val="00A71C91"/>
    <w:rsid w:val="00A72B08"/>
    <w:rsid w:val="00A732E7"/>
    <w:rsid w:val="00A738F3"/>
    <w:rsid w:val="00A75949"/>
    <w:rsid w:val="00A76377"/>
    <w:rsid w:val="00A76505"/>
    <w:rsid w:val="00A76CF5"/>
    <w:rsid w:val="00A776BC"/>
    <w:rsid w:val="00A77C7A"/>
    <w:rsid w:val="00A77D13"/>
    <w:rsid w:val="00A80443"/>
    <w:rsid w:val="00A8053C"/>
    <w:rsid w:val="00A80E6F"/>
    <w:rsid w:val="00A8127E"/>
    <w:rsid w:val="00A814E2"/>
    <w:rsid w:val="00A81E2C"/>
    <w:rsid w:val="00A83603"/>
    <w:rsid w:val="00A8387E"/>
    <w:rsid w:val="00A84CAD"/>
    <w:rsid w:val="00A85CAF"/>
    <w:rsid w:val="00A87516"/>
    <w:rsid w:val="00A91DD7"/>
    <w:rsid w:val="00A9246A"/>
    <w:rsid w:val="00A926C0"/>
    <w:rsid w:val="00A934F0"/>
    <w:rsid w:val="00A93724"/>
    <w:rsid w:val="00A9379C"/>
    <w:rsid w:val="00A9421A"/>
    <w:rsid w:val="00A9442B"/>
    <w:rsid w:val="00A95BE8"/>
    <w:rsid w:val="00AA041D"/>
    <w:rsid w:val="00AA04CD"/>
    <w:rsid w:val="00AA12BC"/>
    <w:rsid w:val="00AA133A"/>
    <w:rsid w:val="00AA1613"/>
    <w:rsid w:val="00AA22C0"/>
    <w:rsid w:val="00AA3CBC"/>
    <w:rsid w:val="00AA3CFD"/>
    <w:rsid w:val="00AA59F5"/>
    <w:rsid w:val="00AA75AC"/>
    <w:rsid w:val="00AA7A52"/>
    <w:rsid w:val="00AB027F"/>
    <w:rsid w:val="00AB292D"/>
    <w:rsid w:val="00AB2A5C"/>
    <w:rsid w:val="00AB3A99"/>
    <w:rsid w:val="00AB47B2"/>
    <w:rsid w:val="00AC056A"/>
    <w:rsid w:val="00AC065B"/>
    <w:rsid w:val="00AC09ED"/>
    <w:rsid w:val="00AC0CD0"/>
    <w:rsid w:val="00AC0CDC"/>
    <w:rsid w:val="00AC1062"/>
    <w:rsid w:val="00AC18FE"/>
    <w:rsid w:val="00AC1E6C"/>
    <w:rsid w:val="00AC47A7"/>
    <w:rsid w:val="00AC611E"/>
    <w:rsid w:val="00AC67E7"/>
    <w:rsid w:val="00AC70F6"/>
    <w:rsid w:val="00AC75C2"/>
    <w:rsid w:val="00AD3831"/>
    <w:rsid w:val="00AD4607"/>
    <w:rsid w:val="00AD4A20"/>
    <w:rsid w:val="00AD4B1D"/>
    <w:rsid w:val="00AD6FC4"/>
    <w:rsid w:val="00AE155F"/>
    <w:rsid w:val="00AE3126"/>
    <w:rsid w:val="00AE3951"/>
    <w:rsid w:val="00AE496E"/>
    <w:rsid w:val="00AE516B"/>
    <w:rsid w:val="00AE6072"/>
    <w:rsid w:val="00AE76B9"/>
    <w:rsid w:val="00AF0401"/>
    <w:rsid w:val="00AF0D94"/>
    <w:rsid w:val="00AF1DA5"/>
    <w:rsid w:val="00AF520C"/>
    <w:rsid w:val="00AF591E"/>
    <w:rsid w:val="00AF606D"/>
    <w:rsid w:val="00AF66C4"/>
    <w:rsid w:val="00AF6C08"/>
    <w:rsid w:val="00B004DC"/>
    <w:rsid w:val="00B012A5"/>
    <w:rsid w:val="00B015A1"/>
    <w:rsid w:val="00B03B2A"/>
    <w:rsid w:val="00B03BD8"/>
    <w:rsid w:val="00B041A6"/>
    <w:rsid w:val="00B05C2E"/>
    <w:rsid w:val="00B07470"/>
    <w:rsid w:val="00B10F35"/>
    <w:rsid w:val="00B11B3B"/>
    <w:rsid w:val="00B11E7E"/>
    <w:rsid w:val="00B127F5"/>
    <w:rsid w:val="00B13E90"/>
    <w:rsid w:val="00B143B8"/>
    <w:rsid w:val="00B14556"/>
    <w:rsid w:val="00B14A43"/>
    <w:rsid w:val="00B14B05"/>
    <w:rsid w:val="00B14FA7"/>
    <w:rsid w:val="00B21414"/>
    <w:rsid w:val="00B21F60"/>
    <w:rsid w:val="00B2368B"/>
    <w:rsid w:val="00B25731"/>
    <w:rsid w:val="00B26FFB"/>
    <w:rsid w:val="00B30774"/>
    <w:rsid w:val="00B30781"/>
    <w:rsid w:val="00B31441"/>
    <w:rsid w:val="00B32958"/>
    <w:rsid w:val="00B336AF"/>
    <w:rsid w:val="00B34885"/>
    <w:rsid w:val="00B3550B"/>
    <w:rsid w:val="00B3560C"/>
    <w:rsid w:val="00B36128"/>
    <w:rsid w:val="00B36133"/>
    <w:rsid w:val="00B3628B"/>
    <w:rsid w:val="00B364C0"/>
    <w:rsid w:val="00B41B22"/>
    <w:rsid w:val="00B435F0"/>
    <w:rsid w:val="00B43CA1"/>
    <w:rsid w:val="00B44913"/>
    <w:rsid w:val="00B44BD8"/>
    <w:rsid w:val="00B45DBD"/>
    <w:rsid w:val="00B462AE"/>
    <w:rsid w:val="00B47509"/>
    <w:rsid w:val="00B47BA2"/>
    <w:rsid w:val="00B47DEA"/>
    <w:rsid w:val="00B532A1"/>
    <w:rsid w:val="00B53DA5"/>
    <w:rsid w:val="00B55CB7"/>
    <w:rsid w:val="00B56379"/>
    <w:rsid w:val="00B578DB"/>
    <w:rsid w:val="00B608D1"/>
    <w:rsid w:val="00B612BD"/>
    <w:rsid w:val="00B62513"/>
    <w:rsid w:val="00B63154"/>
    <w:rsid w:val="00B65D30"/>
    <w:rsid w:val="00B67348"/>
    <w:rsid w:val="00B70F2D"/>
    <w:rsid w:val="00B7224F"/>
    <w:rsid w:val="00B73103"/>
    <w:rsid w:val="00B74E27"/>
    <w:rsid w:val="00B75BC7"/>
    <w:rsid w:val="00B76934"/>
    <w:rsid w:val="00B775C2"/>
    <w:rsid w:val="00B804EB"/>
    <w:rsid w:val="00B80D2C"/>
    <w:rsid w:val="00B80D93"/>
    <w:rsid w:val="00B815AA"/>
    <w:rsid w:val="00B81DFF"/>
    <w:rsid w:val="00B82D1C"/>
    <w:rsid w:val="00B83B84"/>
    <w:rsid w:val="00B83F28"/>
    <w:rsid w:val="00B844CD"/>
    <w:rsid w:val="00B85856"/>
    <w:rsid w:val="00B85A97"/>
    <w:rsid w:val="00B86055"/>
    <w:rsid w:val="00B86F71"/>
    <w:rsid w:val="00B87277"/>
    <w:rsid w:val="00B916B7"/>
    <w:rsid w:val="00B93006"/>
    <w:rsid w:val="00B93085"/>
    <w:rsid w:val="00B931E0"/>
    <w:rsid w:val="00B932E9"/>
    <w:rsid w:val="00B93976"/>
    <w:rsid w:val="00B93D3F"/>
    <w:rsid w:val="00B94446"/>
    <w:rsid w:val="00B94657"/>
    <w:rsid w:val="00B94C1E"/>
    <w:rsid w:val="00B96559"/>
    <w:rsid w:val="00B96CC4"/>
    <w:rsid w:val="00BA0A97"/>
    <w:rsid w:val="00BA0F04"/>
    <w:rsid w:val="00BA119E"/>
    <w:rsid w:val="00BA38CB"/>
    <w:rsid w:val="00BA3C8D"/>
    <w:rsid w:val="00BA64B5"/>
    <w:rsid w:val="00BA65F9"/>
    <w:rsid w:val="00BA79B6"/>
    <w:rsid w:val="00BB018A"/>
    <w:rsid w:val="00BB088D"/>
    <w:rsid w:val="00BB0CC1"/>
    <w:rsid w:val="00BB1A79"/>
    <w:rsid w:val="00BB1FB3"/>
    <w:rsid w:val="00BB49F1"/>
    <w:rsid w:val="00BB4D06"/>
    <w:rsid w:val="00BB56B6"/>
    <w:rsid w:val="00BB5756"/>
    <w:rsid w:val="00BB7EAD"/>
    <w:rsid w:val="00BC02D7"/>
    <w:rsid w:val="00BC26DF"/>
    <w:rsid w:val="00BC2DF9"/>
    <w:rsid w:val="00BC3BF3"/>
    <w:rsid w:val="00BC45C6"/>
    <w:rsid w:val="00BC4929"/>
    <w:rsid w:val="00BC620E"/>
    <w:rsid w:val="00BC62B3"/>
    <w:rsid w:val="00BC7D4B"/>
    <w:rsid w:val="00BD1975"/>
    <w:rsid w:val="00BD39BD"/>
    <w:rsid w:val="00BD3BA7"/>
    <w:rsid w:val="00BD3F95"/>
    <w:rsid w:val="00BD43FC"/>
    <w:rsid w:val="00BD6743"/>
    <w:rsid w:val="00BE23DC"/>
    <w:rsid w:val="00BE282A"/>
    <w:rsid w:val="00BE4C39"/>
    <w:rsid w:val="00BE5C2D"/>
    <w:rsid w:val="00BE69F6"/>
    <w:rsid w:val="00BF23F3"/>
    <w:rsid w:val="00BF2674"/>
    <w:rsid w:val="00BF57F9"/>
    <w:rsid w:val="00BF6095"/>
    <w:rsid w:val="00BF6138"/>
    <w:rsid w:val="00BF61F3"/>
    <w:rsid w:val="00BF6316"/>
    <w:rsid w:val="00BF7AA5"/>
    <w:rsid w:val="00BF7E31"/>
    <w:rsid w:val="00C003CF"/>
    <w:rsid w:val="00C00C77"/>
    <w:rsid w:val="00C0225D"/>
    <w:rsid w:val="00C02827"/>
    <w:rsid w:val="00C03686"/>
    <w:rsid w:val="00C03F91"/>
    <w:rsid w:val="00C05070"/>
    <w:rsid w:val="00C05799"/>
    <w:rsid w:val="00C072FA"/>
    <w:rsid w:val="00C10056"/>
    <w:rsid w:val="00C10574"/>
    <w:rsid w:val="00C12266"/>
    <w:rsid w:val="00C135C6"/>
    <w:rsid w:val="00C13CB3"/>
    <w:rsid w:val="00C142AF"/>
    <w:rsid w:val="00C14C62"/>
    <w:rsid w:val="00C14FCC"/>
    <w:rsid w:val="00C16401"/>
    <w:rsid w:val="00C1687B"/>
    <w:rsid w:val="00C16A29"/>
    <w:rsid w:val="00C16EFD"/>
    <w:rsid w:val="00C1734A"/>
    <w:rsid w:val="00C215BA"/>
    <w:rsid w:val="00C21AB9"/>
    <w:rsid w:val="00C23595"/>
    <w:rsid w:val="00C24089"/>
    <w:rsid w:val="00C2640D"/>
    <w:rsid w:val="00C26729"/>
    <w:rsid w:val="00C272F2"/>
    <w:rsid w:val="00C30748"/>
    <w:rsid w:val="00C31E03"/>
    <w:rsid w:val="00C339D5"/>
    <w:rsid w:val="00C34E6B"/>
    <w:rsid w:val="00C35676"/>
    <w:rsid w:val="00C36735"/>
    <w:rsid w:val="00C37DF1"/>
    <w:rsid w:val="00C37EED"/>
    <w:rsid w:val="00C4007D"/>
    <w:rsid w:val="00C4164C"/>
    <w:rsid w:val="00C41E92"/>
    <w:rsid w:val="00C42BA4"/>
    <w:rsid w:val="00C431D6"/>
    <w:rsid w:val="00C43C96"/>
    <w:rsid w:val="00C44087"/>
    <w:rsid w:val="00C44550"/>
    <w:rsid w:val="00C44AFA"/>
    <w:rsid w:val="00C450E8"/>
    <w:rsid w:val="00C45677"/>
    <w:rsid w:val="00C477D9"/>
    <w:rsid w:val="00C47910"/>
    <w:rsid w:val="00C5006A"/>
    <w:rsid w:val="00C5103C"/>
    <w:rsid w:val="00C51DAC"/>
    <w:rsid w:val="00C533D2"/>
    <w:rsid w:val="00C53553"/>
    <w:rsid w:val="00C5472A"/>
    <w:rsid w:val="00C54F85"/>
    <w:rsid w:val="00C56A84"/>
    <w:rsid w:val="00C5700C"/>
    <w:rsid w:val="00C57648"/>
    <w:rsid w:val="00C6130D"/>
    <w:rsid w:val="00C61EF8"/>
    <w:rsid w:val="00C6381F"/>
    <w:rsid w:val="00C64AC4"/>
    <w:rsid w:val="00C6654E"/>
    <w:rsid w:val="00C6730B"/>
    <w:rsid w:val="00C702B2"/>
    <w:rsid w:val="00C7207B"/>
    <w:rsid w:val="00C72811"/>
    <w:rsid w:val="00C74035"/>
    <w:rsid w:val="00C74A63"/>
    <w:rsid w:val="00C7584D"/>
    <w:rsid w:val="00C75DCC"/>
    <w:rsid w:val="00C76C19"/>
    <w:rsid w:val="00C80224"/>
    <w:rsid w:val="00C80E44"/>
    <w:rsid w:val="00C80F6D"/>
    <w:rsid w:val="00C81097"/>
    <w:rsid w:val="00C81820"/>
    <w:rsid w:val="00C81C5A"/>
    <w:rsid w:val="00C821D6"/>
    <w:rsid w:val="00C824C8"/>
    <w:rsid w:val="00C82560"/>
    <w:rsid w:val="00C82926"/>
    <w:rsid w:val="00C8632D"/>
    <w:rsid w:val="00C8676A"/>
    <w:rsid w:val="00C902F2"/>
    <w:rsid w:val="00C90AE8"/>
    <w:rsid w:val="00C910E4"/>
    <w:rsid w:val="00C9177C"/>
    <w:rsid w:val="00C91AC9"/>
    <w:rsid w:val="00C92546"/>
    <w:rsid w:val="00C93063"/>
    <w:rsid w:val="00C9365F"/>
    <w:rsid w:val="00C94711"/>
    <w:rsid w:val="00C95173"/>
    <w:rsid w:val="00C979F5"/>
    <w:rsid w:val="00CA05FC"/>
    <w:rsid w:val="00CA0C8C"/>
    <w:rsid w:val="00CA11C1"/>
    <w:rsid w:val="00CA5502"/>
    <w:rsid w:val="00CA656B"/>
    <w:rsid w:val="00CA712D"/>
    <w:rsid w:val="00CB02A1"/>
    <w:rsid w:val="00CB03F7"/>
    <w:rsid w:val="00CB0943"/>
    <w:rsid w:val="00CB24AB"/>
    <w:rsid w:val="00CB3511"/>
    <w:rsid w:val="00CB4075"/>
    <w:rsid w:val="00CB41E7"/>
    <w:rsid w:val="00CB4E2E"/>
    <w:rsid w:val="00CB5757"/>
    <w:rsid w:val="00CB5D30"/>
    <w:rsid w:val="00CB63DA"/>
    <w:rsid w:val="00CB7A29"/>
    <w:rsid w:val="00CB7EBC"/>
    <w:rsid w:val="00CC0AB5"/>
    <w:rsid w:val="00CC19C1"/>
    <w:rsid w:val="00CC2006"/>
    <w:rsid w:val="00CC35B4"/>
    <w:rsid w:val="00CC3EA3"/>
    <w:rsid w:val="00CC6B37"/>
    <w:rsid w:val="00CC6B55"/>
    <w:rsid w:val="00CC7FC0"/>
    <w:rsid w:val="00CD0144"/>
    <w:rsid w:val="00CD0939"/>
    <w:rsid w:val="00CD35E9"/>
    <w:rsid w:val="00CD3B29"/>
    <w:rsid w:val="00CD403D"/>
    <w:rsid w:val="00CD605D"/>
    <w:rsid w:val="00CD62FF"/>
    <w:rsid w:val="00CE0C23"/>
    <w:rsid w:val="00CE0F9B"/>
    <w:rsid w:val="00CE2F64"/>
    <w:rsid w:val="00CE341C"/>
    <w:rsid w:val="00CE43E4"/>
    <w:rsid w:val="00CE447F"/>
    <w:rsid w:val="00CE46F2"/>
    <w:rsid w:val="00CE4DEB"/>
    <w:rsid w:val="00CE786C"/>
    <w:rsid w:val="00CE7BC5"/>
    <w:rsid w:val="00CF02AA"/>
    <w:rsid w:val="00CF1298"/>
    <w:rsid w:val="00CF2736"/>
    <w:rsid w:val="00CF371F"/>
    <w:rsid w:val="00CF51BC"/>
    <w:rsid w:val="00CF596E"/>
    <w:rsid w:val="00CF7201"/>
    <w:rsid w:val="00CF78ED"/>
    <w:rsid w:val="00D01DF4"/>
    <w:rsid w:val="00D020C8"/>
    <w:rsid w:val="00D021E2"/>
    <w:rsid w:val="00D0241C"/>
    <w:rsid w:val="00D02B52"/>
    <w:rsid w:val="00D02F68"/>
    <w:rsid w:val="00D03339"/>
    <w:rsid w:val="00D03F6A"/>
    <w:rsid w:val="00D05DBC"/>
    <w:rsid w:val="00D0607C"/>
    <w:rsid w:val="00D0701B"/>
    <w:rsid w:val="00D1152B"/>
    <w:rsid w:val="00D11735"/>
    <w:rsid w:val="00D11826"/>
    <w:rsid w:val="00D1296C"/>
    <w:rsid w:val="00D13031"/>
    <w:rsid w:val="00D1311D"/>
    <w:rsid w:val="00D13249"/>
    <w:rsid w:val="00D147D8"/>
    <w:rsid w:val="00D15F30"/>
    <w:rsid w:val="00D20871"/>
    <w:rsid w:val="00D21C11"/>
    <w:rsid w:val="00D225F8"/>
    <w:rsid w:val="00D22695"/>
    <w:rsid w:val="00D22763"/>
    <w:rsid w:val="00D251E0"/>
    <w:rsid w:val="00D25BDC"/>
    <w:rsid w:val="00D26F2F"/>
    <w:rsid w:val="00D27420"/>
    <w:rsid w:val="00D32BB7"/>
    <w:rsid w:val="00D338C3"/>
    <w:rsid w:val="00D34205"/>
    <w:rsid w:val="00D34DAE"/>
    <w:rsid w:val="00D361F3"/>
    <w:rsid w:val="00D361F9"/>
    <w:rsid w:val="00D378AA"/>
    <w:rsid w:val="00D40047"/>
    <w:rsid w:val="00D41854"/>
    <w:rsid w:val="00D42BC4"/>
    <w:rsid w:val="00D43F56"/>
    <w:rsid w:val="00D453B6"/>
    <w:rsid w:val="00D4664B"/>
    <w:rsid w:val="00D51CB1"/>
    <w:rsid w:val="00D51E1B"/>
    <w:rsid w:val="00D522EB"/>
    <w:rsid w:val="00D53F2F"/>
    <w:rsid w:val="00D560C1"/>
    <w:rsid w:val="00D57876"/>
    <w:rsid w:val="00D6227C"/>
    <w:rsid w:val="00D62D6A"/>
    <w:rsid w:val="00D62D8E"/>
    <w:rsid w:val="00D6449B"/>
    <w:rsid w:val="00D646F0"/>
    <w:rsid w:val="00D646F9"/>
    <w:rsid w:val="00D64EFE"/>
    <w:rsid w:val="00D65226"/>
    <w:rsid w:val="00D673C3"/>
    <w:rsid w:val="00D673D6"/>
    <w:rsid w:val="00D675A9"/>
    <w:rsid w:val="00D67CCE"/>
    <w:rsid w:val="00D67F3E"/>
    <w:rsid w:val="00D71ABA"/>
    <w:rsid w:val="00D72F7B"/>
    <w:rsid w:val="00D73A67"/>
    <w:rsid w:val="00D74399"/>
    <w:rsid w:val="00D744F7"/>
    <w:rsid w:val="00D74771"/>
    <w:rsid w:val="00D7538E"/>
    <w:rsid w:val="00D76079"/>
    <w:rsid w:val="00D76F2A"/>
    <w:rsid w:val="00D772E4"/>
    <w:rsid w:val="00D77F3A"/>
    <w:rsid w:val="00D77FD5"/>
    <w:rsid w:val="00D80536"/>
    <w:rsid w:val="00D809AE"/>
    <w:rsid w:val="00D82468"/>
    <w:rsid w:val="00D83A75"/>
    <w:rsid w:val="00D8783E"/>
    <w:rsid w:val="00D9060A"/>
    <w:rsid w:val="00D91960"/>
    <w:rsid w:val="00D936DE"/>
    <w:rsid w:val="00D93D4F"/>
    <w:rsid w:val="00D95413"/>
    <w:rsid w:val="00D95A0D"/>
    <w:rsid w:val="00D9687F"/>
    <w:rsid w:val="00D97176"/>
    <w:rsid w:val="00D9764F"/>
    <w:rsid w:val="00D97DAB"/>
    <w:rsid w:val="00DA0187"/>
    <w:rsid w:val="00DA2975"/>
    <w:rsid w:val="00DA588F"/>
    <w:rsid w:val="00DA68B0"/>
    <w:rsid w:val="00DA690F"/>
    <w:rsid w:val="00DB617F"/>
    <w:rsid w:val="00DB7412"/>
    <w:rsid w:val="00DB75A2"/>
    <w:rsid w:val="00DC1B61"/>
    <w:rsid w:val="00DC30AB"/>
    <w:rsid w:val="00DC43E5"/>
    <w:rsid w:val="00DC4BDF"/>
    <w:rsid w:val="00DC4EA2"/>
    <w:rsid w:val="00DC5AF6"/>
    <w:rsid w:val="00DC6775"/>
    <w:rsid w:val="00DD04E6"/>
    <w:rsid w:val="00DD0C30"/>
    <w:rsid w:val="00DD0F5C"/>
    <w:rsid w:val="00DD106D"/>
    <w:rsid w:val="00DD1254"/>
    <w:rsid w:val="00DD1C68"/>
    <w:rsid w:val="00DD6C0E"/>
    <w:rsid w:val="00DD6F43"/>
    <w:rsid w:val="00DD795C"/>
    <w:rsid w:val="00DE1CBF"/>
    <w:rsid w:val="00DE1FDB"/>
    <w:rsid w:val="00DE216A"/>
    <w:rsid w:val="00DE21FC"/>
    <w:rsid w:val="00DE23E8"/>
    <w:rsid w:val="00DE2926"/>
    <w:rsid w:val="00DE2B68"/>
    <w:rsid w:val="00DE2C94"/>
    <w:rsid w:val="00DE3628"/>
    <w:rsid w:val="00DE3BC1"/>
    <w:rsid w:val="00DE4BAA"/>
    <w:rsid w:val="00DE54ED"/>
    <w:rsid w:val="00DE5BD1"/>
    <w:rsid w:val="00DE5BF8"/>
    <w:rsid w:val="00DE6BBD"/>
    <w:rsid w:val="00DE6C6D"/>
    <w:rsid w:val="00DE741E"/>
    <w:rsid w:val="00DF2EAC"/>
    <w:rsid w:val="00DF35CF"/>
    <w:rsid w:val="00DF62F5"/>
    <w:rsid w:val="00E0134C"/>
    <w:rsid w:val="00E014BE"/>
    <w:rsid w:val="00E03B0C"/>
    <w:rsid w:val="00E04905"/>
    <w:rsid w:val="00E05EB3"/>
    <w:rsid w:val="00E05FB4"/>
    <w:rsid w:val="00E07E4E"/>
    <w:rsid w:val="00E101A7"/>
    <w:rsid w:val="00E10DD0"/>
    <w:rsid w:val="00E120E0"/>
    <w:rsid w:val="00E12C72"/>
    <w:rsid w:val="00E131C8"/>
    <w:rsid w:val="00E136C8"/>
    <w:rsid w:val="00E140A8"/>
    <w:rsid w:val="00E14956"/>
    <w:rsid w:val="00E15D12"/>
    <w:rsid w:val="00E17910"/>
    <w:rsid w:val="00E17C31"/>
    <w:rsid w:val="00E214C4"/>
    <w:rsid w:val="00E21907"/>
    <w:rsid w:val="00E2582B"/>
    <w:rsid w:val="00E27690"/>
    <w:rsid w:val="00E31D29"/>
    <w:rsid w:val="00E31E30"/>
    <w:rsid w:val="00E31E8B"/>
    <w:rsid w:val="00E32C99"/>
    <w:rsid w:val="00E33F86"/>
    <w:rsid w:val="00E34824"/>
    <w:rsid w:val="00E3555E"/>
    <w:rsid w:val="00E3657A"/>
    <w:rsid w:val="00E366FD"/>
    <w:rsid w:val="00E36CCA"/>
    <w:rsid w:val="00E37AB7"/>
    <w:rsid w:val="00E40B77"/>
    <w:rsid w:val="00E41CDB"/>
    <w:rsid w:val="00E420FF"/>
    <w:rsid w:val="00E4375E"/>
    <w:rsid w:val="00E43FF2"/>
    <w:rsid w:val="00E44E7B"/>
    <w:rsid w:val="00E47F17"/>
    <w:rsid w:val="00E47FFE"/>
    <w:rsid w:val="00E52264"/>
    <w:rsid w:val="00E5284E"/>
    <w:rsid w:val="00E52C82"/>
    <w:rsid w:val="00E53558"/>
    <w:rsid w:val="00E54466"/>
    <w:rsid w:val="00E5476B"/>
    <w:rsid w:val="00E548E1"/>
    <w:rsid w:val="00E57ABA"/>
    <w:rsid w:val="00E57DDC"/>
    <w:rsid w:val="00E610C5"/>
    <w:rsid w:val="00E61E24"/>
    <w:rsid w:val="00E626C7"/>
    <w:rsid w:val="00E62BA9"/>
    <w:rsid w:val="00E632BD"/>
    <w:rsid w:val="00E634A0"/>
    <w:rsid w:val="00E66538"/>
    <w:rsid w:val="00E6780C"/>
    <w:rsid w:val="00E70A58"/>
    <w:rsid w:val="00E71FAB"/>
    <w:rsid w:val="00E73589"/>
    <w:rsid w:val="00E74CB3"/>
    <w:rsid w:val="00E74CDB"/>
    <w:rsid w:val="00E74E85"/>
    <w:rsid w:val="00E77957"/>
    <w:rsid w:val="00E77BE7"/>
    <w:rsid w:val="00E830C7"/>
    <w:rsid w:val="00E8378E"/>
    <w:rsid w:val="00E83BA6"/>
    <w:rsid w:val="00E84405"/>
    <w:rsid w:val="00E847E4"/>
    <w:rsid w:val="00E84FA8"/>
    <w:rsid w:val="00E85331"/>
    <w:rsid w:val="00E868EC"/>
    <w:rsid w:val="00E87363"/>
    <w:rsid w:val="00E879EB"/>
    <w:rsid w:val="00E922C6"/>
    <w:rsid w:val="00E93880"/>
    <w:rsid w:val="00E93E69"/>
    <w:rsid w:val="00E94937"/>
    <w:rsid w:val="00E94C61"/>
    <w:rsid w:val="00E95BAE"/>
    <w:rsid w:val="00E973A8"/>
    <w:rsid w:val="00EA0D55"/>
    <w:rsid w:val="00EA172C"/>
    <w:rsid w:val="00EA28F7"/>
    <w:rsid w:val="00EA297F"/>
    <w:rsid w:val="00EA2F13"/>
    <w:rsid w:val="00EA3386"/>
    <w:rsid w:val="00EA3C4A"/>
    <w:rsid w:val="00EA3F75"/>
    <w:rsid w:val="00EA412F"/>
    <w:rsid w:val="00EA4D04"/>
    <w:rsid w:val="00EA5D6F"/>
    <w:rsid w:val="00EA70F2"/>
    <w:rsid w:val="00EA79E3"/>
    <w:rsid w:val="00EB1126"/>
    <w:rsid w:val="00EB176A"/>
    <w:rsid w:val="00EB47D7"/>
    <w:rsid w:val="00EB48C4"/>
    <w:rsid w:val="00EB4B54"/>
    <w:rsid w:val="00EB5D79"/>
    <w:rsid w:val="00EB6662"/>
    <w:rsid w:val="00EB71BF"/>
    <w:rsid w:val="00EB783C"/>
    <w:rsid w:val="00EB7D14"/>
    <w:rsid w:val="00EB7F21"/>
    <w:rsid w:val="00EC18DA"/>
    <w:rsid w:val="00EC1F84"/>
    <w:rsid w:val="00EC23E1"/>
    <w:rsid w:val="00EC2EDA"/>
    <w:rsid w:val="00EC4C1A"/>
    <w:rsid w:val="00EC607A"/>
    <w:rsid w:val="00EC60EA"/>
    <w:rsid w:val="00EC658D"/>
    <w:rsid w:val="00ED175C"/>
    <w:rsid w:val="00ED22DE"/>
    <w:rsid w:val="00ED4181"/>
    <w:rsid w:val="00ED54AC"/>
    <w:rsid w:val="00ED6D41"/>
    <w:rsid w:val="00ED70D8"/>
    <w:rsid w:val="00ED7B03"/>
    <w:rsid w:val="00ED7BCE"/>
    <w:rsid w:val="00EE0228"/>
    <w:rsid w:val="00EE02BD"/>
    <w:rsid w:val="00EE0B00"/>
    <w:rsid w:val="00EE1E28"/>
    <w:rsid w:val="00EE236E"/>
    <w:rsid w:val="00EE271F"/>
    <w:rsid w:val="00EE3233"/>
    <w:rsid w:val="00EE3365"/>
    <w:rsid w:val="00EE3B7F"/>
    <w:rsid w:val="00EE401C"/>
    <w:rsid w:val="00EE4517"/>
    <w:rsid w:val="00EE4540"/>
    <w:rsid w:val="00EE506C"/>
    <w:rsid w:val="00EE5330"/>
    <w:rsid w:val="00EE6FB6"/>
    <w:rsid w:val="00EE7B70"/>
    <w:rsid w:val="00EF20FB"/>
    <w:rsid w:val="00EF2E6B"/>
    <w:rsid w:val="00EF34EF"/>
    <w:rsid w:val="00EF359B"/>
    <w:rsid w:val="00EF5B05"/>
    <w:rsid w:val="00EF5C07"/>
    <w:rsid w:val="00EF710F"/>
    <w:rsid w:val="00EF7198"/>
    <w:rsid w:val="00EF7EB7"/>
    <w:rsid w:val="00F002B6"/>
    <w:rsid w:val="00F03C33"/>
    <w:rsid w:val="00F04A71"/>
    <w:rsid w:val="00F0596C"/>
    <w:rsid w:val="00F061B5"/>
    <w:rsid w:val="00F117AB"/>
    <w:rsid w:val="00F12E11"/>
    <w:rsid w:val="00F12FF2"/>
    <w:rsid w:val="00F13614"/>
    <w:rsid w:val="00F16513"/>
    <w:rsid w:val="00F17065"/>
    <w:rsid w:val="00F1748A"/>
    <w:rsid w:val="00F20EDB"/>
    <w:rsid w:val="00F22044"/>
    <w:rsid w:val="00F22375"/>
    <w:rsid w:val="00F22ACF"/>
    <w:rsid w:val="00F22B3F"/>
    <w:rsid w:val="00F241C2"/>
    <w:rsid w:val="00F24762"/>
    <w:rsid w:val="00F26ADD"/>
    <w:rsid w:val="00F27278"/>
    <w:rsid w:val="00F276F7"/>
    <w:rsid w:val="00F30960"/>
    <w:rsid w:val="00F30BB3"/>
    <w:rsid w:val="00F30C50"/>
    <w:rsid w:val="00F311E1"/>
    <w:rsid w:val="00F3222D"/>
    <w:rsid w:val="00F32463"/>
    <w:rsid w:val="00F326CD"/>
    <w:rsid w:val="00F32A5C"/>
    <w:rsid w:val="00F342FB"/>
    <w:rsid w:val="00F35207"/>
    <w:rsid w:val="00F35552"/>
    <w:rsid w:val="00F35B41"/>
    <w:rsid w:val="00F35E05"/>
    <w:rsid w:val="00F35E23"/>
    <w:rsid w:val="00F36299"/>
    <w:rsid w:val="00F37B81"/>
    <w:rsid w:val="00F408BC"/>
    <w:rsid w:val="00F420FD"/>
    <w:rsid w:val="00F43A1F"/>
    <w:rsid w:val="00F43F3F"/>
    <w:rsid w:val="00F45DDF"/>
    <w:rsid w:val="00F4600A"/>
    <w:rsid w:val="00F47C8F"/>
    <w:rsid w:val="00F514E2"/>
    <w:rsid w:val="00F51CDF"/>
    <w:rsid w:val="00F5218D"/>
    <w:rsid w:val="00F54847"/>
    <w:rsid w:val="00F54EB3"/>
    <w:rsid w:val="00F56523"/>
    <w:rsid w:val="00F56CCE"/>
    <w:rsid w:val="00F56D2F"/>
    <w:rsid w:val="00F56E8E"/>
    <w:rsid w:val="00F600F6"/>
    <w:rsid w:val="00F61836"/>
    <w:rsid w:val="00F61D48"/>
    <w:rsid w:val="00F62B81"/>
    <w:rsid w:val="00F6621B"/>
    <w:rsid w:val="00F72BFC"/>
    <w:rsid w:val="00F72FDD"/>
    <w:rsid w:val="00F73A90"/>
    <w:rsid w:val="00F7413E"/>
    <w:rsid w:val="00F74752"/>
    <w:rsid w:val="00F7486F"/>
    <w:rsid w:val="00F753D0"/>
    <w:rsid w:val="00F77503"/>
    <w:rsid w:val="00F77B6A"/>
    <w:rsid w:val="00F77F0D"/>
    <w:rsid w:val="00F80096"/>
    <w:rsid w:val="00F81B56"/>
    <w:rsid w:val="00F82EEC"/>
    <w:rsid w:val="00F83734"/>
    <w:rsid w:val="00F83A3F"/>
    <w:rsid w:val="00F841B1"/>
    <w:rsid w:val="00F84AC0"/>
    <w:rsid w:val="00F84CFE"/>
    <w:rsid w:val="00F857E5"/>
    <w:rsid w:val="00F858A7"/>
    <w:rsid w:val="00F8613C"/>
    <w:rsid w:val="00F8724A"/>
    <w:rsid w:val="00F87BC4"/>
    <w:rsid w:val="00F90934"/>
    <w:rsid w:val="00F915B9"/>
    <w:rsid w:val="00F9399F"/>
    <w:rsid w:val="00F93A38"/>
    <w:rsid w:val="00F94702"/>
    <w:rsid w:val="00F952E6"/>
    <w:rsid w:val="00F958A1"/>
    <w:rsid w:val="00FA04F9"/>
    <w:rsid w:val="00FA0BA6"/>
    <w:rsid w:val="00FA1511"/>
    <w:rsid w:val="00FA1BCE"/>
    <w:rsid w:val="00FA2ECB"/>
    <w:rsid w:val="00FA4504"/>
    <w:rsid w:val="00FA4BF9"/>
    <w:rsid w:val="00FB092E"/>
    <w:rsid w:val="00FB3BAE"/>
    <w:rsid w:val="00FB3CDE"/>
    <w:rsid w:val="00FB3F1F"/>
    <w:rsid w:val="00FB4780"/>
    <w:rsid w:val="00FB5807"/>
    <w:rsid w:val="00FB5D3E"/>
    <w:rsid w:val="00FB6365"/>
    <w:rsid w:val="00FB6FDF"/>
    <w:rsid w:val="00FC041D"/>
    <w:rsid w:val="00FC1C47"/>
    <w:rsid w:val="00FC2452"/>
    <w:rsid w:val="00FC254E"/>
    <w:rsid w:val="00FC2576"/>
    <w:rsid w:val="00FC4C0C"/>
    <w:rsid w:val="00FC74D8"/>
    <w:rsid w:val="00FC7843"/>
    <w:rsid w:val="00FC7DDA"/>
    <w:rsid w:val="00FC7EE9"/>
    <w:rsid w:val="00FD0AF1"/>
    <w:rsid w:val="00FD1610"/>
    <w:rsid w:val="00FD1F62"/>
    <w:rsid w:val="00FD2DEE"/>
    <w:rsid w:val="00FD5196"/>
    <w:rsid w:val="00FD5C99"/>
    <w:rsid w:val="00FD5DE4"/>
    <w:rsid w:val="00FD7457"/>
    <w:rsid w:val="00FD7F41"/>
    <w:rsid w:val="00FE1B0C"/>
    <w:rsid w:val="00FE1FC1"/>
    <w:rsid w:val="00FE3AE9"/>
    <w:rsid w:val="00FE53A5"/>
    <w:rsid w:val="00FE5A82"/>
    <w:rsid w:val="00FE688F"/>
    <w:rsid w:val="00FE6D7F"/>
    <w:rsid w:val="00FF0002"/>
    <w:rsid w:val="00FF0218"/>
    <w:rsid w:val="00FF072B"/>
    <w:rsid w:val="00FF17FD"/>
    <w:rsid w:val="00FF19E9"/>
    <w:rsid w:val="00FF30A2"/>
    <w:rsid w:val="00FF32BB"/>
    <w:rsid w:val="00FF3656"/>
    <w:rsid w:val="00FF3800"/>
    <w:rsid w:val="00FF469A"/>
    <w:rsid w:val="00FF46CA"/>
    <w:rsid w:val="00FF4E78"/>
    <w:rsid w:val="00FF53CA"/>
    <w:rsid w:val="00FF62E2"/>
    <w:rsid w:val="00FF7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40C4D"/>
    <w:rPr>
      <w:rFonts w:ascii="Arial" w:hAnsi="Arial"/>
      <w:sz w:val="22"/>
      <w:szCs w:val="24"/>
      <w:lang w:eastAsia="en-US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040C4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GS"/>
    <w:basedOn w:val="Normal"/>
    <w:link w:val="BodyTextChar"/>
    <w:rsid w:val="00040C4D"/>
    <w:pPr>
      <w:jc w:val="center"/>
    </w:pPr>
    <w:rPr>
      <w:lang w:val="en-US"/>
    </w:rPr>
  </w:style>
  <w:style w:type="character" w:customStyle="1" w:styleId="BodyTextChar">
    <w:name w:val="Body Text Char"/>
    <w:aliases w:val="GS Char"/>
    <w:basedOn w:val="DefaultParagraphFont"/>
    <w:link w:val="BodyText"/>
    <w:rsid w:val="00040C4D"/>
    <w:rPr>
      <w:rFonts w:ascii="Arial" w:hAnsi="Arial"/>
      <w:sz w:val="22"/>
      <w:szCs w:val="24"/>
      <w:lang w:val="en-US" w:eastAsia="en-US"/>
    </w:rPr>
  </w:style>
  <w:style w:type="paragraph" w:styleId="Footer">
    <w:name w:val="footer"/>
    <w:basedOn w:val="Normal"/>
    <w:link w:val="FooterChar"/>
    <w:rsid w:val="00040C4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040C4D"/>
    <w:rPr>
      <w:rFonts w:ascii="Arial" w:hAnsi="Arial"/>
      <w:sz w:val="22"/>
      <w:szCs w:val="24"/>
      <w:lang w:eastAsia="en-US"/>
    </w:rPr>
  </w:style>
  <w:style w:type="character" w:styleId="PageNumber">
    <w:name w:val="page number"/>
    <w:basedOn w:val="DefaultParagraphFont"/>
    <w:rsid w:val="00040C4D"/>
  </w:style>
  <w:style w:type="paragraph" w:customStyle="1" w:styleId="TableNote-H58">
    <w:name w:val="Table Note - H58"/>
    <w:basedOn w:val="BodyText"/>
    <w:qFormat/>
    <w:rsid w:val="00040C4D"/>
    <w:pPr>
      <w:keepLines/>
      <w:tabs>
        <w:tab w:val="left" w:pos="680"/>
      </w:tabs>
      <w:spacing w:before="45"/>
      <w:jc w:val="both"/>
    </w:pPr>
    <w:rPr>
      <w:bCs/>
      <w:color w:val="414141"/>
      <w:sz w:val="12"/>
      <w:szCs w:val="12"/>
      <w:lang w:val="en-GB"/>
    </w:rPr>
  </w:style>
  <w:style w:type="paragraph" w:customStyle="1" w:styleId="TableHeading-H56">
    <w:name w:val="Table Heading - H56"/>
    <w:basedOn w:val="Heading4"/>
    <w:qFormat/>
    <w:rsid w:val="00040C4D"/>
    <w:pPr>
      <w:keepLines w:val="0"/>
      <w:tabs>
        <w:tab w:val="left" w:pos="1440"/>
      </w:tabs>
      <w:spacing w:before="80" w:after="40"/>
      <w:outlineLvl w:val="9"/>
    </w:pPr>
    <w:rPr>
      <w:rFonts w:ascii="Arial" w:eastAsia="Arial Unicode MS" w:hAnsi="Arial" w:cs="Times New Roman"/>
      <w:bCs w:val="0"/>
      <w:i w:val="0"/>
      <w:iCs w:val="0"/>
      <w:color w:val="002C77"/>
      <w:sz w:val="16"/>
      <w:szCs w:val="44"/>
    </w:rPr>
  </w:style>
  <w:style w:type="paragraph" w:customStyle="1" w:styleId="TableBodyText-H54">
    <w:name w:val="Table Body Text - H54"/>
    <w:basedOn w:val="BodyText"/>
    <w:link w:val="TableBodyText-H54Char"/>
    <w:qFormat/>
    <w:rsid w:val="00040C4D"/>
    <w:pPr>
      <w:keepLines/>
      <w:widowControl w:val="0"/>
      <w:spacing w:before="40" w:after="40"/>
      <w:jc w:val="left"/>
    </w:pPr>
    <w:rPr>
      <w:color w:val="414141"/>
      <w:sz w:val="16"/>
      <w:szCs w:val="20"/>
      <w:lang w:val="en-GB"/>
    </w:rPr>
  </w:style>
  <w:style w:type="character" w:customStyle="1" w:styleId="TableBodyText-H54Char">
    <w:name w:val="Table Body Text - H54 Char"/>
    <w:link w:val="TableBodyText-H54"/>
    <w:rsid w:val="00040C4D"/>
    <w:rPr>
      <w:rFonts w:ascii="Arial" w:hAnsi="Arial"/>
      <w:color w:val="414141"/>
      <w:sz w:val="16"/>
      <w:lang w:eastAsia="en-US"/>
    </w:rPr>
  </w:style>
  <w:style w:type="paragraph" w:customStyle="1" w:styleId="EndNoteBibliography">
    <w:name w:val="EndNote Bibliography"/>
    <w:basedOn w:val="Normal"/>
    <w:link w:val="EndNoteBibliographyChar"/>
    <w:rsid w:val="00040C4D"/>
    <w:pPr>
      <w:spacing w:line="48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link w:val="EndNoteBibliography"/>
    <w:rsid w:val="00040C4D"/>
    <w:rPr>
      <w:rFonts w:ascii="Calibri" w:hAnsi="Calibri"/>
      <w:noProof/>
      <w:sz w:val="22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semiHidden/>
    <w:rsid w:val="00040C4D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40C4D"/>
    <w:rPr>
      <w:rFonts w:ascii="Arial" w:hAnsi="Arial"/>
      <w:sz w:val="22"/>
      <w:szCs w:val="24"/>
      <w:lang w:eastAsia="en-US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040C4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GS"/>
    <w:basedOn w:val="Normal"/>
    <w:link w:val="BodyTextChar"/>
    <w:rsid w:val="00040C4D"/>
    <w:pPr>
      <w:jc w:val="center"/>
    </w:pPr>
    <w:rPr>
      <w:lang w:val="en-US"/>
    </w:rPr>
  </w:style>
  <w:style w:type="character" w:customStyle="1" w:styleId="BodyTextChar">
    <w:name w:val="Body Text Char"/>
    <w:aliases w:val="GS Char"/>
    <w:basedOn w:val="DefaultParagraphFont"/>
    <w:link w:val="BodyText"/>
    <w:rsid w:val="00040C4D"/>
    <w:rPr>
      <w:rFonts w:ascii="Arial" w:hAnsi="Arial"/>
      <w:sz w:val="22"/>
      <w:szCs w:val="24"/>
      <w:lang w:val="en-US" w:eastAsia="en-US"/>
    </w:rPr>
  </w:style>
  <w:style w:type="paragraph" w:styleId="Footer">
    <w:name w:val="footer"/>
    <w:basedOn w:val="Normal"/>
    <w:link w:val="FooterChar"/>
    <w:rsid w:val="00040C4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040C4D"/>
    <w:rPr>
      <w:rFonts w:ascii="Arial" w:hAnsi="Arial"/>
      <w:sz w:val="22"/>
      <w:szCs w:val="24"/>
      <w:lang w:eastAsia="en-US"/>
    </w:rPr>
  </w:style>
  <w:style w:type="character" w:styleId="PageNumber">
    <w:name w:val="page number"/>
    <w:basedOn w:val="DefaultParagraphFont"/>
    <w:rsid w:val="00040C4D"/>
  </w:style>
  <w:style w:type="paragraph" w:customStyle="1" w:styleId="TableNote-H58">
    <w:name w:val="Table Note - H58"/>
    <w:basedOn w:val="BodyText"/>
    <w:qFormat/>
    <w:rsid w:val="00040C4D"/>
    <w:pPr>
      <w:keepLines/>
      <w:tabs>
        <w:tab w:val="left" w:pos="680"/>
      </w:tabs>
      <w:spacing w:before="45"/>
      <w:jc w:val="both"/>
    </w:pPr>
    <w:rPr>
      <w:bCs/>
      <w:color w:val="414141"/>
      <w:sz w:val="12"/>
      <w:szCs w:val="12"/>
      <w:lang w:val="en-GB"/>
    </w:rPr>
  </w:style>
  <w:style w:type="paragraph" w:customStyle="1" w:styleId="TableHeading-H56">
    <w:name w:val="Table Heading - H56"/>
    <w:basedOn w:val="Heading4"/>
    <w:qFormat/>
    <w:rsid w:val="00040C4D"/>
    <w:pPr>
      <w:keepLines w:val="0"/>
      <w:tabs>
        <w:tab w:val="left" w:pos="1440"/>
      </w:tabs>
      <w:spacing w:before="80" w:after="40"/>
      <w:outlineLvl w:val="9"/>
    </w:pPr>
    <w:rPr>
      <w:rFonts w:ascii="Arial" w:eastAsia="Arial Unicode MS" w:hAnsi="Arial" w:cs="Times New Roman"/>
      <w:bCs w:val="0"/>
      <w:i w:val="0"/>
      <w:iCs w:val="0"/>
      <w:color w:val="002C77"/>
      <w:sz w:val="16"/>
      <w:szCs w:val="44"/>
    </w:rPr>
  </w:style>
  <w:style w:type="paragraph" w:customStyle="1" w:styleId="TableBodyText-H54">
    <w:name w:val="Table Body Text - H54"/>
    <w:basedOn w:val="BodyText"/>
    <w:link w:val="TableBodyText-H54Char"/>
    <w:qFormat/>
    <w:rsid w:val="00040C4D"/>
    <w:pPr>
      <w:keepLines/>
      <w:widowControl w:val="0"/>
      <w:spacing w:before="40" w:after="40"/>
      <w:jc w:val="left"/>
    </w:pPr>
    <w:rPr>
      <w:color w:val="414141"/>
      <w:sz w:val="16"/>
      <w:szCs w:val="20"/>
      <w:lang w:val="en-GB"/>
    </w:rPr>
  </w:style>
  <w:style w:type="character" w:customStyle="1" w:styleId="TableBodyText-H54Char">
    <w:name w:val="Table Body Text - H54 Char"/>
    <w:link w:val="TableBodyText-H54"/>
    <w:rsid w:val="00040C4D"/>
    <w:rPr>
      <w:rFonts w:ascii="Arial" w:hAnsi="Arial"/>
      <w:color w:val="414141"/>
      <w:sz w:val="16"/>
      <w:lang w:eastAsia="en-US"/>
    </w:rPr>
  </w:style>
  <w:style w:type="paragraph" w:customStyle="1" w:styleId="EndNoteBibliography">
    <w:name w:val="EndNote Bibliography"/>
    <w:basedOn w:val="Normal"/>
    <w:link w:val="EndNoteBibliographyChar"/>
    <w:rsid w:val="00040C4D"/>
    <w:pPr>
      <w:spacing w:line="48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link w:val="EndNoteBibliography"/>
    <w:rsid w:val="00040C4D"/>
    <w:rPr>
      <w:rFonts w:ascii="Calibri" w:hAnsi="Calibri"/>
      <w:noProof/>
      <w:sz w:val="22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semiHidden/>
    <w:rsid w:val="00040C4D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11</Pages>
  <Words>1674</Words>
  <Characters>49428</Characters>
  <Application>Microsoft Office Word</Application>
  <DocSecurity>0</DocSecurity>
  <Lines>411</Lines>
  <Paragraphs>101</Paragraphs>
  <ScaleCrop>false</ScaleCrop>
  <Company>Hewlett-Packard Company</Company>
  <LinksUpToDate>false</LinksUpToDate>
  <CharactersWithSpaces>51001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Dormer</dc:creator>
  <cp:lastModifiedBy>Kelvin Adu</cp:lastModifiedBy>
  <cp:revision>3</cp:revision>
  <dcterms:created xsi:type="dcterms:W3CDTF">2018-03-28T12:45:00Z</dcterms:created>
  <dcterms:modified xsi:type="dcterms:W3CDTF">2018-04-24T13:46:00Z</dcterms:modified>
</cp:coreProperties>
</file>